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6E18" w:rsidRDefault="00E46E18" w:rsidP="00E46E18">
      <w:pPr>
        <w:pStyle w:val="a0"/>
        <w:spacing w:after="0" w:line="600" w:lineRule="exact"/>
        <w:ind w:firstLineChars="0" w:firstLine="0"/>
        <w:rPr>
          <w:rFonts w:ascii="黑体" w:eastAsia="黑体" w:hAnsi="黑体" w:cs="黑体" w:hint="eastAsia"/>
          <w:sz w:val="32"/>
          <w:szCs w:val="32"/>
        </w:rPr>
      </w:pPr>
      <w:r>
        <w:rPr>
          <w:rFonts w:ascii="黑体" w:eastAsia="黑体" w:hAnsi="黑体" w:cs="黑体" w:hint="eastAsia"/>
          <w:sz w:val="32"/>
          <w:szCs w:val="32"/>
        </w:rPr>
        <w:t>附件1</w:t>
      </w:r>
    </w:p>
    <w:p w:rsidR="00E46E18" w:rsidRDefault="00E46E18" w:rsidP="00E46E18">
      <w:pPr>
        <w:spacing w:line="600" w:lineRule="exact"/>
        <w:jc w:val="left"/>
        <w:rPr>
          <w:rFonts w:ascii="仿宋_GB2312" w:eastAsia="仿宋_GB2312" w:hAnsi="仿宋_GB2312" w:cs="仿宋_GB2312" w:hint="eastAsia"/>
          <w:sz w:val="32"/>
          <w:szCs w:val="32"/>
        </w:rPr>
      </w:pPr>
    </w:p>
    <w:p w:rsidR="00E46E18" w:rsidRPr="00E46E18" w:rsidRDefault="00E46E18" w:rsidP="00E46E18">
      <w:pPr>
        <w:spacing w:line="600" w:lineRule="exact"/>
        <w:jc w:val="center"/>
        <w:rPr>
          <w:rFonts w:ascii="方正小标宋简体" w:eastAsia="方正小标宋简体" w:hAnsi="方正小标宋简体" w:cs="方正小标宋简体" w:hint="eastAsia"/>
          <w:spacing w:val="-6"/>
          <w:sz w:val="44"/>
          <w:szCs w:val="44"/>
        </w:rPr>
      </w:pPr>
      <w:r>
        <w:rPr>
          <w:rFonts w:ascii="方正小标宋简体" w:eastAsia="方正小标宋简体" w:hAnsi="方正小标宋简体" w:cs="方正小标宋简体" w:hint="eastAsia"/>
          <w:spacing w:val="-6"/>
          <w:sz w:val="44"/>
          <w:szCs w:val="44"/>
        </w:rPr>
        <w:t>2020年度福建省高校哲学社会科学研究项目</w:t>
      </w:r>
      <w:r>
        <w:rPr>
          <w:rFonts w:ascii="方正小标宋简体" w:eastAsia="方正小标宋简体" w:hAnsi="方正小标宋简体" w:cs="方正小标宋简体" w:hint="eastAsia"/>
          <w:sz w:val="44"/>
          <w:szCs w:val="44"/>
        </w:rPr>
        <w:t>课题指南</w:t>
      </w:r>
    </w:p>
    <w:p w:rsidR="00E46E18" w:rsidRDefault="00E46E18" w:rsidP="00E46E18">
      <w:pPr>
        <w:spacing w:line="600" w:lineRule="exact"/>
        <w:jc w:val="center"/>
        <w:rPr>
          <w:rFonts w:ascii="仿宋_GB2312" w:eastAsia="仿宋_GB2312" w:hAnsi="仿宋_GB2312" w:cs="仿宋_GB2312" w:hint="eastAsia"/>
          <w:sz w:val="32"/>
          <w:szCs w:val="32"/>
        </w:rPr>
      </w:pP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1.习近平新时代中国特色社会主义思想的精神实质和丰富内涵研究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2.习近平新时代中国特色社会主义思想的原创性贡献研究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3.习近平总书记关于宣传思想工作的重要思想研究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4.习近平总书记关于坚持和完善中国特色社会主义制度、推进国家治理体系和治理能力现代化的重要论述研究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5.习近平总书记关于决胜全面建成小康社会、决战脱贫攻坚目标任务的重要论述研究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6.习近平总书记关于党史、新中国史、改革开放史、社会主义发展史的重要论述研究</w:t>
      </w:r>
    </w:p>
    <w:p w:rsidR="00E46E18" w:rsidRDefault="00E46E18" w:rsidP="00E46E18">
      <w:pPr>
        <w:spacing w:line="600" w:lineRule="exact"/>
        <w:rPr>
          <w:rFonts w:ascii="仿宋_GB2312" w:eastAsia="仿宋_GB2312" w:hAnsi="仿宋_GB2312" w:cs="仿宋_GB2312" w:hint="eastAsia"/>
          <w:spacing w:val="-6"/>
          <w:sz w:val="32"/>
          <w:szCs w:val="32"/>
        </w:rPr>
      </w:pPr>
      <w:r>
        <w:rPr>
          <w:rFonts w:ascii="仿宋_GB2312" w:eastAsia="仿宋_GB2312" w:hAnsi="仿宋_GB2312" w:cs="仿宋_GB2312" w:hint="eastAsia"/>
          <w:sz w:val="32"/>
          <w:szCs w:val="32"/>
        </w:rPr>
        <w:t>7.</w:t>
      </w:r>
      <w:r>
        <w:rPr>
          <w:rFonts w:ascii="仿宋_GB2312" w:eastAsia="仿宋_GB2312" w:hAnsi="仿宋_GB2312" w:cs="仿宋_GB2312" w:hint="eastAsia"/>
          <w:spacing w:val="-6"/>
          <w:sz w:val="32"/>
          <w:szCs w:val="32"/>
        </w:rPr>
        <w:t>习近平总书记关于新冠疫情防控斗争实践经验的重要论述研究</w:t>
      </w:r>
    </w:p>
    <w:p w:rsidR="00E46E18" w:rsidRDefault="00E46E18" w:rsidP="00E46E18">
      <w:pPr>
        <w:spacing w:line="600" w:lineRule="exact"/>
        <w:rPr>
          <w:rFonts w:ascii="仿宋_GB2312" w:eastAsia="仿宋_GB2312" w:hAnsi="仿宋_GB2312" w:cs="仿宋_GB2312" w:hint="eastAsia"/>
          <w:spacing w:val="-6"/>
          <w:sz w:val="32"/>
          <w:szCs w:val="32"/>
        </w:rPr>
      </w:pPr>
      <w:r>
        <w:rPr>
          <w:rFonts w:ascii="仿宋_GB2312" w:eastAsia="仿宋_GB2312" w:hAnsi="仿宋_GB2312" w:cs="仿宋_GB2312" w:hint="eastAsia"/>
          <w:sz w:val="32"/>
          <w:szCs w:val="32"/>
        </w:rPr>
        <w:t>8.</w:t>
      </w:r>
      <w:r>
        <w:rPr>
          <w:rFonts w:ascii="仿宋_GB2312" w:eastAsia="仿宋_GB2312" w:hAnsi="仿宋_GB2312" w:cs="仿宋_GB2312" w:hint="eastAsia"/>
          <w:spacing w:val="-6"/>
          <w:sz w:val="32"/>
          <w:szCs w:val="32"/>
        </w:rPr>
        <w:t>习近平总书记关于“不忘初心、牢记使命”的重要论述研究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9.习近平总书记关于意识形态工作的重要论述研究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10.习近平总书记关于教育的重要论述研究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11.习近平总书记的绿色发展理念研究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12.习近平总书记关于学校思想政治理论课建设的重要论述研究</w:t>
      </w:r>
    </w:p>
    <w:p w:rsidR="00E46E18" w:rsidRDefault="00E46E18" w:rsidP="00E46E18">
      <w:pPr>
        <w:spacing w:line="360" w:lineRule="auto"/>
        <w:rPr>
          <w:rFonts w:ascii="仿宋_GB2312" w:eastAsia="仿宋_GB2312" w:hAnsi="仿宋_GB2312" w:cs="仿宋_GB2312" w:hint="eastAsia"/>
          <w:bCs/>
          <w:spacing w:val="-6"/>
          <w:sz w:val="32"/>
          <w:szCs w:val="32"/>
        </w:rPr>
      </w:pPr>
      <w:r>
        <w:rPr>
          <w:rFonts w:ascii="仿宋_GB2312" w:eastAsia="仿宋_GB2312" w:hAnsi="仿宋_GB2312" w:cs="仿宋_GB2312" w:hint="eastAsia"/>
          <w:bCs/>
          <w:spacing w:val="-6"/>
          <w:sz w:val="32"/>
          <w:szCs w:val="32"/>
        </w:rPr>
        <w:lastRenderedPageBreak/>
        <w:t>13.习近平总书记在福建工作时的创新理念和重大实践与习近平新时代中国特色社会主义思想之间的脉络传承和逻辑关系研究</w:t>
      </w:r>
    </w:p>
    <w:p w:rsidR="00E46E18" w:rsidRDefault="00E46E18" w:rsidP="00E46E18">
      <w:pPr>
        <w:spacing w:line="360" w:lineRule="auto"/>
        <w:rPr>
          <w:rFonts w:ascii="仿宋_GB2312" w:eastAsia="仿宋_GB2312" w:hAnsi="仿宋_GB2312" w:cs="仿宋_GB2312" w:hint="eastAsia"/>
          <w:spacing w:val="-11"/>
          <w:sz w:val="32"/>
          <w:szCs w:val="32"/>
        </w:rPr>
      </w:pPr>
      <w:r>
        <w:rPr>
          <w:rFonts w:ascii="仿宋_GB2312" w:eastAsia="仿宋_GB2312" w:hAnsi="仿宋_GB2312" w:cs="仿宋_GB2312" w:hint="eastAsia"/>
          <w:bCs/>
          <w:spacing w:val="-6"/>
          <w:sz w:val="32"/>
          <w:szCs w:val="32"/>
        </w:rPr>
        <w:t>14.</w:t>
      </w:r>
      <w:r>
        <w:rPr>
          <w:rFonts w:ascii="仿宋_GB2312" w:eastAsia="仿宋_GB2312" w:hAnsi="仿宋_GB2312" w:cs="仿宋_GB2312" w:hint="eastAsia"/>
          <w:spacing w:val="-11"/>
          <w:sz w:val="32"/>
          <w:szCs w:val="32"/>
        </w:rPr>
        <w:t>传承弘扬习近平总书记在福建工作时的创新理念和重大实践研究</w:t>
      </w:r>
    </w:p>
    <w:p w:rsidR="00E46E18" w:rsidRDefault="00E46E18" w:rsidP="00E46E18">
      <w:pPr>
        <w:spacing w:line="360" w:lineRule="auto"/>
        <w:rPr>
          <w:rFonts w:ascii="仿宋_GB2312" w:eastAsia="仿宋_GB2312" w:hAnsi="仿宋_GB2312" w:cs="仿宋_GB2312" w:hint="eastAsia"/>
          <w:bCs/>
          <w:spacing w:val="-6"/>
          <w:sz w:val="32"/>
          <w:szCs w:val="32"/>
        </w:rPr>
      </w:pPr>
      <w:r>
        <w:rPr>
          <w:rFonts w:ascii="仿宋_GB2312" w:eastAsia="仿宋_GB2312" w:hAnsi="仿宋_GB2312" w:cs="仿宋_GB2312" w:hint="eastAsia"/>
          <w:bCs/>
          <w:spacing w:val="-6"/>
          <w:sz w:val="32"/>
          <w:szCs w:val="32"/>
        </w:rPr>
        <w:t>15.《习近平在厦门》《习近平在宁德》《习近平在福州》《习近平在福建》等系列采访实录体现的习近总书记在福建工作期间的优良作风、思想方法和工作经验研究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16.中国特色社会主义制度的本质特征研究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17.全面建成小康社会研究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18.全面从严治党研究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19.全面深化改革研究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20.全面依法治国研究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21.新时代坚持和发展中国特色社会主义的能力建设研究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22.新时代坚持和发展中国特色社会主义研究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23.新时代中国特色社会主义经济建设研究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24.新时代中国特色社会主义政治建设研究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25.新时代中国特色社会主义文化建设研究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26.新时代中国特色社会主义社会建设研究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27.新时代中国特色社会主义生态文明建设研究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28.新时代区域协调发展战略研究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29.新时代乡村振兴战略与“三农”问题研究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lastRenderedPageBreak/>
        <w:t>30.坚持总体国家安全观研究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31.构建人类命运共同体研究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32.坚持以人民为中心研究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33.打牢中华民族共同体思想基础研究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34.中国坚持和平发展道路重大问题研究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35.巩固和发展最广泛的爱国统一战线研究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36.中国特色社会主义制度的深厚历史底蕴及实践基础研究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37.中国特色社会主义制度“人民至上”的价值研究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38.中国特色社会主义制度自信研究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39.中国特色社会主义制度和治理体系的世界意义研究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40.一体推进不敢腐不能腐不想腐的体制机制研究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41.全面建设社会主义现代化对国家治理体系和能力的新要求和新挑战研究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42.坚持和发挥我国国家制度和国家治理体系集中力量办大事的显著优势研究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43.我国国家制度和国家治理体系的显著优势研究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44.社会心理建设与社会治理研究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45.健全城乡基层治理体系研究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46.新时代城乡社区治理体系建设研究</w:t>
      </w:r>
    </w:p>
    <w:p w:rsidR="00E46E18" w:rsidRDefault="00E46E18" w:rsidP="00E46E18">
      <w:pPr>
        <w:spacing w:line="600" w:lineRule="exact"/>
        <w:rPr>
          <w:rFonts w:ascii="仿宋_GB2312" w:eastAsia="仿宋_GB2312" w:hAnsi="仿宋_GB2312" w:cs="仿宋_GB2312" w:hint="eastAsia"/>
          <w:spacing w:val="-6"/>
          <w:sz w:val="32"/>
          <w:szCs w:val="32"/>
        </w:rPr>
      </w:pPr>
      <w:r>
        <w:rPr>
          <w:rFonts w:ascii="仿宋_GB2312" w:eastAsia="仿宋_GB2312" w:hAnsi="仿宋_GB2312" w:cs="仿宋_GB2312" w:hint="eastAsia"/>
          <w:sz w:val="32"/>
          <w:szCs w:val="32"/>
        </w:rPr>
        <w:t>47.</w:t>
      </w:r>
      <w:r>
        <w:rPr>
          <w:rFonts w:ascii="仿宋_GB2312" w:eastAsia="仿宋_GB2312" w:hAnsi="仿宋_GB2312" w:cs="仿宋_GB2312" w:hint="eastAsia"/>
          <w:spacing w:val="-6"/>
          <w:sz w:val="32"/>
          <w:szCs w:val="32"/>
        </w:rPr>
        <w:t>坚持马克思主义在意识形态领域指导地位的根本制度研究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48.意识形态领域热点舆情动态跟踪研究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49.马克思主义中国化的历史进程及基本经验研究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50.马克思主义基本原理与经典著作研究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lastRenderedPageBreak/>
        <w:t>51.新时代党的建设总体布局和总要求研究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52.中国共产党系列革命精神专题研究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53.中国共产党革命精神融入思想政治理论课研究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51.中国共产党革命精神传播研究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55.中国共产党与中华民族伟大复兴研究</w:t>
      </w:r>
    </w:p>
    <w:p w:rsidR="00E46E18" w:rsidRDefault="00E46E18" w:rsidP="00E46E18">
      <w:pPr>
        <w:spacing w:line="600" w:lineRule="exact"/>
        <w:rPr>
          <w:rFonts w:ascii="仿宋_GB2312" w:eastAsia="仿宋_GB2312" w:hAnsi="仿宋_GB2312" w:cs="仿宋_GB2312" w:hint="eastAsia"/>
          <w:spacing w:val="-6"/>
          <w:sz w:val="32"/>
          <w:szCs w:val="32"/>
        </w:rPr>
      </w:pPr>
      <w:r>
        <w:rPr>
          <w:rFonts w:ascii="仿宋_GB2312" w:eastAsia="仿宋_GB2312" w:hAnsi="仿宋_GB2312" w:cs="仿宋_GB2312" w:hint="eastAsia"/>
          <w:sz w:val="32"/>
          <w:szCs w:val="32"/>
        </w:rPr>
        <w:t>56.</w:t>
      </w:r>
      <w:r>
        <w:rPr>
          <w:rFonts w:ascii="仿宋_GB2312" w:eastAsia="仿宋_GB2312" w:hAnsi="仿宋_GB2312" w:cs="仿宋_GB2312" w:hint="eastAsia"/>
          <w:spacing w:val="-6"/>
          <w:sz w:val="32"/>
          <w:szCs w:val="32"/>
        </w:rPr>
        <w:t>中国共产党对国家制度和治理体系的探索实践和经验研究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57.推动理想信念教育常态化、制度化研究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58.高校红色文化资源育人研究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59.高校网络意识形态领域风险防范化解机制研究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60.大学文化促进立德树人研究</w:t>
      </w:r>
    </w:p>
    <w:p w:rsidR="00E46E18" w:rsidRDefault="00E46E18" w:rsidP="00E46E18">
      <w:pPr>
        <w:spacing w:line="600" w:lineRule="exact"/>
        <w:rPr>
          <w:rFonts w:ascii="仿宋_GB2312" w:eastAsia="仿宋_GB2312" w:hAnsi="仿宋_GB2312" w:cs="仿宋_GB2312" w:hint="eastAsia"/>
          <w:spacing w:val="-6"/>
          <w:sz w:val="32"/>
          <w:szCs w:val="32"/>
        </w:rPr>
      </w:pPr>
      <w:r>
        <w:rPr>
          <w:rFonts w:ascii="仿宋_GB2312" w:eastAsia="仿宋_GB2312" w:hAnsi="仿宋_GB2312" w:cs="仿宋_GB2312" w:hint="eastAsia"/>
          <w:sz w:val="32"/>
          <w:szCs w:val="32"/>
        </w:rPr>
        <w:t>61.</w:t>
      </w:r>
      <w:r>
        <w:rPr>
          <w:rFonts w:ascii="仿宋_GB2312" w:eastAsia="仿宋_GB2312" w:hAnsi="仿宋_GB2312" w:cs="仿宋_GB2312" w:hint="eastAsia"/>
          <w:spacing w:val="-6"/>
          <w:sz w:val="32"/>
          <w:szCs w:val="32"/>
        </w:rPr>
        <w:t>新时代大中小学思想政治理论课课程教材一体化建设研究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62.高校考试招生改革引导学生德智体美劳全面发展研究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63.新时代学校体育美育改革发展研究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64.教育高质量发展评价指标体系研究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65.职业教育专业建设与产业发展的谱系图研究</w:t>
      </w:r>
    </w:p>
    <w:p w:rsidR="00E46E18" w:rsidRDefault="00E46E18" w:rsidP="00E46E18">
      <w:pPr>
        <w:spacing w:line="600" w:lineRule="exact"/>
      </w:pPr>
      <w:r>
        <w:rPr>
          <w:rFonts w:ascii="仿宋_GB2312" w:eastAsia="仿宋_GB2312" w:hAnsi="仿宋_GB2312" w:cs="仿宋_GB2312" w:hint="eastAsia"/>
          <w:sz w:val="32"/>
          <w:szCs w:val="32"/>
        </w:rPr>
        <w:t>66.“一带一路”沿线国家汉语教育比较研究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67.</w:t>
      </w:r>
      <w:r>
        <w:rPr>
          <w:rFonts w:ascii="仿宋_GB2312" w:eastAsia="仿宋_GB2312" w:hAnsi="仿宋_GB2312" w:cs="仿宋_GB2312" w:hint="eastAsia"/>
          <w:spacing w:val="-6"/>
          <w:sz w:val="32"/>
          <w:szCs w:val="32"/>
        </w:rPr>
        <w:t>中华优秀传统文化在语文教材中的传承研究与数据库建设</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68.中国特色社会主义政治经济学理论与实践研究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69.工业互联网发展中新型生产关系研究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70.新形势下促进民营经济健康发展重大问题研究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71.加快自由贸易试验区、自由贸易港等对外开放高地建设研究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72.中国特色自由贸易港建设理论与方法研究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lastRenderedPageBreak/>
        <w:t>73完善诚信建设长效机制研究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74.健全重大舆情和突发事件舆论引导机制研究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75.健康中国2030背景下的健康老龄化体系优化研究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76.网络环境下大数据新动能机制研究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77.人工智能发展中的重大风险防范体系研究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78.区域医疗背景下重建家庭医生服务模式研究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79.新时代特大城市管理创新机制研究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80.我国历史上应对重大自然灾害的经验与启示研究</w:t>
      </w:r>
    </w:p>
    <w:p w:rsidR="00E46E18" w:rsidRDefault="00E46E18" w:rsidP="00E46E18">
      <w:pPr>
        <w:spacing w:line="600" w:lineRule="exact"/>
        <w:rPr>
          <w:rFonts w:ascii="仿宋_GB2312" w:eastAsia="仿宋_GB2312" w:hAnsi="仿宋_GB2312" w:cs="仿宋_GB2312" w:hint="eastAsia"/>
          <w:spacing w:val="-6"/>
          <w:sz w:val="32"/>
          <w:szCs w:val="32"/>
        </w:rPr>
      </w:pPr>
      <w:r>
        <w:rPr>
          <w:rFonts w:ascii="仿宋_GB2312" w:eastAsia="仿宋_GB2312" w:hAnsi="仿宋_GB2312" w:cs="仿宋_GB2312" w:hint="eastAsia"/>
          <w:sz w:val="32"/>
          <w:szCs w:val="32"/>
        </w:rPr>
        <w:t>81.</w:t>
      </w:r>
      <w:r>
        <w:rPr>
          <w:rFonts w:ascii="仿宋_GB2312" w:eastAsia="仿宋_GB2312" w:hAnsi="仿宋_GB2312" w:cs="仿宋_GB2312" w:hint="eastAsia"/>
          <w:spacing w:val="-6"/>
          <w:sz w:val="32"/>
          <w:szCs w:val="32"/>
        </w:rPr>
        <w:t>围绕成功应对重大突发事件讲好中国故事、发出中国声音研究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82.健全中国特色应急管理体制研究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83.重大突发事件中的心理危机干预机制研究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84.重大突发事件中的社会矛盾防范与化解研究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85.提升公众公共安全意识和自救互救能力的有效途径研究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86.增强应对重大突发事件中的依法治理能力研究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87.国家生物安全风险防控和治理体系建设研究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88.国家生物安全法律法规体系、制度保障体系研究</w:t>
      </w:r>
    </w:p>
    <w:p w:rsidR="00E46E18" w:rsidRDefault="00E46E18" w:rsidP="00E46E18">
      <w:pPr>
        <w:spacing w:line="600" w:lineRule="exact"/>
        <w:rPr>
          <w:rFonts w:ascii="仿宋_GB2312" w:eastAsia="仿宋_GB2312" w:hAnsi="仿宋_GB2312" w:cs="仿宋_GB2312" w:hint="eastAsia"/>
          <w:spacing w:val="-6"/>
          <w:sz w:val="32"/>
          <w:szCs w:val="32"/>
        </w:rPr>
      </w:pPr>
      <w:r>
        <w:rPr>
          <w:rFonts w:ascii="仿宋_GB2312" w:eastAsia="仿宋_GB2312" w:hAnsi="仿宋_GB2312" w:cs="仿宋_GB2312" w:hint="eastAsia"/>
          <w:sz w:val="32"/>
          <w:szCs w:val="32"/>
        </w:rPr>
        <w:t>89.</w:t>
      </w:r>
      <w:r>
        <w:rPr>
          <w:rFonts w:ascii="仿宋_GB2312" w:eastAsia="仿宋_GB2312" w:hAnsi="仿宋_GB2312" w:cs="仿宋_GB2312" w:hint="eastAsia"/>
          <w:spacing w:val="-6"/>
          <w:sz w:val="32"/>
          <w:szCs w:val="32"/>
        </w:rPr>
        <w:t>完善公共卫生重大风险研判、评估、决策、防控协同机制研究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90.健全充满活力的基层群众自治制度研究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91.深化农村集体产权制度改革研究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92.完善社会治安防控体系研究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93.加快军民融合深度发展步伐研究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lastRenderedPageBreak/>
        <w:t>94.新形势下我国粮食安全与水资源保障重大问题研究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95.推进数字政府建设研究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96.新中国成立以来社会调查发展进程、经验与展望研究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97.完善弘扬社会主义核心价值观的法律政策体系研究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98.建立全媒体传播体系研究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99.积极参与全球治理体系改革和建设研究</w:t>
      </w:r>
    </w:p>
    <w:p w:rsidR="00E46E18" w:rsidRDefault="00E46E18" w:rsidP="00E46E18">
      <w:pPr>
        <w:spacing w:line="600" w:lineRule="exact"/>
        <w:rPr>
          <w:rFonts w:hint="eastAsia"/>
        </w:rPr>
      </w:pPr>
      <w:r>
        <w:rPr>
          <w:rFonts w:ascii="仿宋_GB2312" w:eastAsia="仿宋_GB2312" w:hAnsi="仿宋_GB2312" w:cs="仿宋_GB2312" w:hint="eastAsia"/>
          <w:sz w:val="32"/>
          <w:szCs w:val="32"/>
        </w:rPr>
        <w:t>100.百年未有之大变局下我国发展外部环境研究</w:t>
      </w:r>
    </w:p>
    <w:p w:rsidR="00E46E18" w:rsidRDefault="00E46E18" w:rsidP="00E46E18">
      <w:pPr>
        <w:pStyle w:val="a4"/>
        <w:spacing w:before="0" w:beforeAutospacing="0" w:after="0" w:afterAutospacing="0" w:line="360" w:lineRule="auto"/>
        <w:rPr>
          <w:rFonts w:ascii="仿宋_GB2312" w:eastAsia="仿宋_GB2312" w:hAnsi="仿宋_GB2312" w:cs="仿宋_GB2312" w:hint="eastAsia"/>
          <w:bCs/>
          <w:spacing w:val="-6"/>
          <w:kern w:val="2"/>
          <w:sz w:val="32"/>
          <w:szCs w:val="32"/>
        </w:rPr>
      </w:pPr>
      <w:r>
        <w:rPr>
          <w:rFonts w:ascii="仿宋_GB2312" w:eastAsia="仿宋_GB2312" w:hAnsi="仿宋_GB2312" w:cs="仿宋_GB2312" w:hint="eastAsia"/>
          <w:bCs/>
          <w:spacing w:val="-6"/>
          <w:kern w:val="2"/>
          <w:sz w:val="32"/>
          <w:szCs w:val="32"/>
        </w:rPr>
        <w:t>101.从“摆脱贫困”到决战决胜脱贫攻坚研究</w:t>
      </w:r>
    </w:p>
    <w:p w:rsidR="00E46E18" w:rsidRDefault="00E46E18" w:rsidP="00E46E18">
      <w:pPr>
        <w:pStyle w:val="a4"/>
        <w:spacing w:before="0" w:beforeAutospacing="0" w:after="0" w:afterAutospacing="0" w:line="360" w:lineRule="auto"/>
        <w:rPr>
          <w:rFonts w:ascii="仿宋_GB2312" w:eastAsia="仿宋_GB2312" w:hAnsi="仿宋_GB2312" w:cs="仿宋_GB2312" w:hint="eastAsia"/>
          <w:bCs/>
          <w:spacing w:val="-6"/>
          <w:kern w:val="2"/>
          <w:sz w:val="32"/>
          <w:szCs w:val="32"/>
        </w:rPr>
      </w:pPr>
      <w:r>
        <w:rPr>
          <w:rFonts w:ascii="仿宋_GB2312" w:eastAsia="仿宋_GB2312" w:hAnsi="仿宋_GB2312" w:cs="仿宋_GB2312" w:hint="eastAsia"/>
          <w:bCs/>
          <w:spacing w:val="-6"/>
          <w:kern w:val="2"/>
          <w:sz w:val="32"/>
          <w:szCs w:val="32"/>
        </w:rPr>
        <w:t>102.从“生态福建”到“美丽中国”研究</w:t>
      </w:r>
    </w:p>
    <w:p w:rsidR="00E46E18" w:rsidRDefault="00E46E18" w:rsidP="00E46E18">
      <w:pPr>
        <w:pStyle w:val="a4"/>
        <w:spacing w:before="0" w:beforeAutospacing="0" w:after="0" w:afterAutospacing="0" w:line="360" w:lineRule="auto"/>
        <w:rPr>
          <w:rFonts w:ascii="仿宋_GB2312" w:eastAsia="仿宋_GB2312" w:hAnsi="仿宋_GB2312" w:cs="仿宋_GB2312" w:hint="eastAsia"/>
          <w:bCs/>
          <w:spacing w:val="-6"/>
          <w:kern w:val="2"/>
          <w:sz w:val="32"/>
          <w:szCs w:val="32"/>
        </w:rPr>
      </w:pPr>
      <w:r>
        <w:rPr>
          <w:rFonts w:ascii="仿宋_GB2312" w:eastAsia="仿宋_GB2312" w:hAnsi="仿宋_GB2312" w:cs="仿宋_GB2312" w:hint="eastAsia"/>
          <w:bCs/>
          <w:spacing w:val="-6"/>
          <w:kern w:val="2"/>
          <w:sz w:val="32"/>
          <w:szCs w:val="32"/>
        </w:rPr>
        <w:t>103.从“山海协作”到实施区域协调发展战略研究</w:t>
      </w:r>
    </w:p>
    <w:p w:rsidR="00E46E18" w:rsidRDefault="00E46E18" w:rsidP="00E46E18">
      <w:pPr>
        <w:pStyle w:val="a4"/>
        <w:spacing w:before="0" w:beforeAutospacing="0" w:after="0" w:afterAutospacing="0" w:line="360" w:lineRule="auto"/>
        <w:rPr>
          <w:rFonts w:ascii="仿宋_GB2312" w:eastAsia="仿宋_GB2312" w:hAnsi="仿宋_GB2312" w:cs="仿宋_GB2312" w:hint="eastAsia"/>
          <w:bCs/>
          <w:spacing w:val="-6"/>
          <w:kern w:val="2"/>
          <w:sz w:val="32"/>
          <w:szCs w:val="32"/>
        </w:rPr>
      </w:pPr>
      <w:r>
        <w:rPr>
          <w:rFonts w:ascii="仿宋_GB2312" w:eastAsia="仿宋_GB2312" w:hAnsi="仿宋_GB2312" w:cs="仿宋_GB2312" w:hint="eastAsia"/>
          <w:bCs/>
          <w:spacing w:val="-6"/>
          <w:kern w:val="2"/>
          <w:sz w:val="32"/>
          <w:szCs w:val="32"/>
        </w:rPr>
        <w:t>104.从“晋江经验”到大力振兴实体经济研究</w:t>
      </w:r>
    </w:p>
    <w:p w:rsidR="00E46E18" w:rsidRDefault="00E46E18" w:rsidP="00E46E18">
      <w:pPr>
        <w:pStyle w:val="a4"/>
        <w:spacing w:before="0" w:beforeAutospacing="0" w:after="0" w:afterAutospacing="0" w:line="360" w:lineRule="auto"/>
        <w:rPr>
          <w:rFonts w:ascii="仿宋_GB2312" w:eastAsia="仿宋_GB2312" w:hAnsi="仿宋_GB2312" w:cs="仿宋_GB2312" w:hint="eastAsia"/>
          <w:bCs/>
          <w:spacing w:val="-6"/>
          <w:kern w:val="2"/>
          <w:sz w:val="32"/>
          <w:szCs w:val="32"/>
        </w:rPr>
      </w:pPr>
      <w:r>
        <w:rPr>
          <w:rFonts w:ascii="仿宋_GB2312" w:eastAsia="仿宋_GB2312" w:hAnsi="仿宋_GB2312" w:cs="仿宋_GB2312" w:hint="eastAsia"/>
          <w:bCs/>
          <w:spacing w:val="-6"/>
          <w:kern w:val="2"/>
          <w:sz w:val="32"/>
          <w:szCs w:val="32"/>
        </w:rPr>
        <w:t>105.从“武平林改”到深化集体林权制度改革研究</w:t>
      </w:r>
    </w:p>
    <w:p w:rsidR="00E46E18" w:rsidRDefault="00E46E18" w:rsidP="00E46E18">
      <w:pPr>
        <w:pStyle w:val="a4"/>
        <w:spacing w:before="0" w:beforeAutospacing="0" w:after="0" w:afterAutospacing="0" w:line="360" w:lineRule="auto"/>
        <w:rPr>
          <w:rFonts w:ascii="仿宋_GB2312" w:eastAsia="仿宋_GB2312" w:hAnsi="仿宋_GB2312" w:cs="仿宋_GB2312" w:hint="eastAsia"/>
          <w:bCs/>
          <w:spacing w:val="-6"/>
          <w:kern w:val="2"/>
          <w:sz w:val="32"/>
          <w:szCs w:val="32"/>
        </w:rPr>
      </w:pPr>
      <w:r>
        <w:rPr>
          <w:rFonts w:ascii="仿宋_GB2312" w:eastAsia="仿宋_GB2312" w:hAnsi="仿宋_GB2312" w:cs="仿宋_GB2312" w:hint="eastAsia"/>
          <w:bCs/>
          <w:spacing w:val="-6"/>
          <w:kern w:val="2"/>
          <w:sz w:val="32"/>
          <w:szCs w:val="32"/>
        </w:rPr>
        <w:t>106.从“松绑放权”到深化经济体制改革研究</w:t>
      </w:r>
    </w:p>
    <w:p w:rsidR="00E46E18" w:rsidRDefault="00E46E18" w:rsidP="00E46E18">
      <w:pPr>
        <w:pStyle w:val="a4"/>
        <w:spacing w:before="0" w:beforeAutospacing="0" w:after="0" w:afterAutospacing="0" w:line="360" w:lineRule="auto"/>
        <w:rPr>
          <w:rFonts w:ascii="仿宋_GB2312" w:eastAsia="仿宋_GB2312" w:hAnsi="仿宋_GB2312" w:cs="仿宋_GB2312" w:hint="eastAsia"/>
          <w:bCs/>
          <w:spacing w:val="-6"/>
          <w:kern w:val="2"/>
          <w:sz w:val="32"/>
          <w:szCs w:val="32"/>
        </w:rPr>
      </w:pPr>
      <w:r>
        <w:rPr>
          <w:rFonts w:ascii="仿宋_GB2312" w:eastAsia="仿宋_GB2312" w:hAnsi="仿宋_GB2312" w:cs="仿宋_GB2312" w:hint="eastAsia"/>
          <w:bCs/>
          <w:spacing w:val="-6"/>
          <w:kern w:val="2"/>
          <w:sz w:val="32"/>
          <w:szCs w:val="32"/>
        </w:rPr>
        <w:t>107.从“海上福州”到“21世纪海上丝绸之路”研究</w:t>
      </w:r>
    </w:p>
    <w:p w:rsidR="00E46E18" w:rsidRDefault="00E46E18" w:rsidP="00E46E18">
      <w:pPr>
        <w:pStyle w:val="a4"/>
        <w:spacing w:before="0" w:beforeAutospacing="0" w:after="0" w:afterAutospacing="0" w:line="360" w:lineRule="auto"/>
        <w:rPr>
          <w:rFonts w:ascii="仿宋_GB2312" w:eastAsia="仿宋_GB2312" w:hAnsi="仿宋_GB2312" w:cs="仿宋_GB2312" w:hint="eastAsia"/>
          <w:bCs/>
          <w:spacing w:val="-6"/>
          <w:kern w:val="2"/>
          <w:sz w:val="32"/>
          <w:szCs w:val="32"/>
        </w:rPr>
      </w:pPr>
      <w:r>
        <w:rPr>
          <w:rFonts w:ascii="仿宋_GB2312" w:eastAsia="仿宋_GB2312" w:hAnsi="仿宋_GB2312" w:cs="仿宋_GB2312" w:hint="eastAsia"/>
          <w:bCs/>
          <w:spacing w:val="-6"/>
          <w:kern w:val="2"/>
          <w:sz w:val="32"/>
          <w:szCs w:val="32"/>
        </w:rPr>
        <w:t>108.从“闽台合作”到深化两岸融合发展研究</w:t>
      </w:r>
    </w:p>
    <w:p w:rsidR="00E46E18" w:rsidRDefault="00E46E18" w:rsidP="00E46E18">
      <w:pPr>
        <w:pStyle w:val="a4"/>
        <w:spacing w:before="0" w:beforeAutospacing="0" w:after="0" w:afterAutospacing="0" w:line="360" w:lineRule="auto"/>
        <w:rPr>
          <w:rFonts w:ascii="仿宋_GB2312" w:eastAsia="仿宋_GB2312" w:hAnsi="仿宋_GB2312" w:cs="仿宋_GB2312" w:hint="eastAsia"/>
          <w:bCs/>
          <w:spacing w:val="-6"/>
          <w:kern w:val="2"/>
          <w:sz w:val="32"/>
          <w:szCs w:val="32"/>
        </w:rPr>
      </w:pPr>
      <w:r>
        <w:rPr>
          <w:rFonts w:ascii="仿宋_GB2312" w:eastAsia="仿宋_GB2312" w:hAnsi="仿宋_GB2312" w:cs="仿宋_GB2312" w:hint="eastAsia"/>
          <w:bCs/>
          <w:spacing w:val="-6"/>
          <w:kern w:val="2"/>
          <w:sz w:val="32"/>
          <w:szCs w:val="32"/>
        </w:rPr>
        <w:t>109.从保护历史文化遗产到坚定文化自信研究</w:t>
      </w:r>
    </w:p>
    <w:p w:rsidR="00E46E18" w:rsidRDefault="00E46E18" w:rsidP="00E46E18">
      <w:pPr>
        <w:pStyle w:val="a4"/>
        <w:spacing w:before="0" w:beforeAutospacing="0" w:after="0" w:afterAutospacing="0" w:line="360" w:lineRule="auto"/>
        <w:rPr>
          <w:rFonts w:ascii="仿宋_GB2312" w:eastAsia="仿宋_GB2312" w:hAnsi="仿宋_GB2312" w:cs="仿宋_GB2312" w:hint="eastAsia"/>
          <w:bCs/>
          <w:spacing w:val="-6"/>
          <w:kern w:val="2"/>
          <w:sz w:val="32"/>
          <w:szCs w:val="32"/>
        </w:rPr>
      </w:pPr>
      <w:r>
        <w:rPr>
          <w:rFonts w:ascii="仿宋_GB2312" w:eastAsia="仿宋_GB2312" w:hAnsi="仿宋_GB2312" w:cs="仿宋_GB2312" w:hint="eastAsia"/>
          <w:bCs/>
          <w:spacing w:val="-6"/>
          <w:kern w:val="2"/>
          <w:sz w:val="32"/>
          <w:szCs w:val="32"/>
        </w:rPr>
        <w:t>110.从“数字福建”到“数字中国”研究</w:t>
      </w:r>
    </w:p>
    <w:p w:rsidR="00E46E18" w:rsidRDefault="00E46E18" w:rsidP="00E46E18">
      <w:pPr>
        <w:pStyle w:val="a4"/>
        <w:spacing w:before="0" w:beforeAutospacing="0" w:after="0" w:afterAutospacing="0" w:line="360" w:lineRule="auto"/>
        <w:rPr>
          <w:rFonts w:ascii="仿宋_GB2312" w:eastAsia="仿宋_GB2312" w:hAnsi="仿宋_GB2312" w:cs="仿宋_GB2312" w:hint="eastAsia"/>
          <w:bCs/>
          <w:spacing w:val="-6"/>
          <w:kern w:val="2"/>
          <w:sz w:val="32"/>
          <w:szCs w:val="32"/>
        </w:rPr>
      </w:pPr>
      <w:r>
        <w:rPr>
          <w:rFonts w:ascii="仿宋_GB2312" w:eastAsia="仿宋_GB2312" w:hAnsi="仿宋_GB2312" w:cs="仿宋_GB2312" w:hint="eastAsia"/>
          <w:bCs/>
          <w:spacing w:val="-6"/>
          <w:kern w:val="2"/>
          <w:sz w:val="32"/>
          <w:szCs w:val="32"/>
        </w:rPr>
        <w:t>111.从“马上就办、真抓实干”到国家治理现代化研究</w:t>
      </w:r>
    </w:p>
    <w:p w:rsidR="00E46E18" w:rsidRDefault="00E46E18" w:rsidP="00E46E18">
      <w:pPr>
        <w:pStyle w:val="a4"/>
        <w:spacing w:before="0" w:beforeAutospacing="0" w:after="0" w:afterAutospacing="0" w:line="360" w:lineRule="auto"/>
        <w:rPr>
          <w:rFonts w:ascii="仿宋_GB2312" w:eastAsia="仿宋_GB2312" w:hAnsi="仿宋_GB2312" w:cs="仿宋_GB2312" w:hint="eastAsia"/>
          <w:bCs/>
          <w:spacing w:val="-6"/>
          <w:kern w:val="2"/>
          <w:sz w:val="32"/>
          <w:szCs w:val="32"/>
        </w:rPr>
      </w:pPr>
      <w:r>
        <w:rPr>
          <w:rFonts w:ascii="仿宋_GB2312" w:eastAsia="仿宋_GB2312" w:hAnsi="仿宋_GB2312" w:cs="仿宋_GB2312" w:hint="eastAsia"/>
          <w:bCs/>
          <w:spacing w:val="-6"/>
          <w:kern w:val="2"/>
          <w:sz w:val="32"/>
          <w:szCs w:val="32"/>
        </w:rPr>
        <w:t>112.从“四下基层”到坚决纠正“四风”研究</w:t>
      </w:r>
    </w:p>
    <w:p w:rsidR="00E46E18" w:rsidRDefault="00E46E18" w:rsidP="00E46E18">
      <w:pPr>
        <w:pStyle w:val="a4"/>
        <w:spacing w:before="0" w:beforeAutospacing="0" w:after="0" w:afterAutospacing="0" w:line="360" w:lineRule="auto"/>
        <w:rPr>
          <w:rFonts w:ascii="仿宋_GB2312" w:eastAsia="仿宋_GB2312" w:hAnsi="仿宋_GB2312" w:cs="仿宋_GB2312" w:hint="eastAsia"/>
          <w:bCs/>
          <w:spacing w:val="-6"/>
          <w:kern w:val="2"/>
          <w:sz w:val="32"/>
          <w:szCs w:val="32"/>
        </w:rPr>
      </w:pPr>
      <w:r>
        <w:rPr>
          <w:rFonts w:ascii="仿宋_GB2312" w:eastAsia="仿宋_GB2312" w:hAnsi="仿宋_GB2312" w:cs="仿宋_GB2312" w:hint="eastAsia"/>
          <w:bCs/>
          <w:spacing w:val="-6"/>
          <w:kern w:val="2"/>
          <w:sz w:val="32"/>
          <w:szCs w:val="32"/>
        </w:rPr>
        <w:t>113.从惩治“摆在马路边的腐败”到全面从严治党研究</w:t>
      </w:r>
    </w:p>
    <w:p w:rsidR="00E46E18" w:rsidRDefault="00E46E18" w:rsidP="00E46E18">
      <w:pPr>
        <w:spacing w:line="620" w:lineRule="exact"/>
        <w:rPr>
          <w:rFonts w:ascii="仿宋_GB2312" w:eastAsia="仿宋_GB2312" w:hAnsi="仿宋_GB2312" w:cs="仿宋_GB2312" w:hint="eastAsia"/>
          <w:bCs/>
          <w:spacing w:val="-6"/>
          <w:sz w:val="32"/>
          <w:szCs w:val="32"/>
        </w:rPr>
      </w:pPr>
      <w:r>
        <w:rPr>
          <w:rFonts w:ascii="仿宋_GB2312" w:eastAsia="仿宋_GB2312" w:hAnsi="仿宋_GB2312" w:cs="仿宋_GB2312" w:hint="eastAsia"/>
          <w:bCs/>
          <w:spacing w:val="-6"/>
          <w:sz w:val="32"/>
          <w:szCs w:val="32"/>
        </w:rPr>
        <w:t>114.持续深化法治福建建设，坚持和完善中国特色社会主义法治体系研究</w:t>
      </w:r>
    </w:p>
    <w:p w:rsidR="00E46E18" w:rsidRDefault="00E46E18" w:rsidP="00E46E18">
      <w:pPr>
        <w:spacing w:line="620" w:lineRule="exact"/>
        <w:rPr>
          <w:rFonts w:ascii="仿宋_GB2312" w:eastAsia="仿宋_GB2312" w:hAnsi="仿宋_GB2312" w:cs="仿宋_GB2312" w:hint="eastAsia"/>
          <w:bCs/>
          <w:spacing w:val="-6"/>
          <w:sz w:val="32"/>
          <w:szCs w:val="32"/>
        </w:rPr>
      </w:pPr>
      <w:r>
        <w:rPr>
          <w:rFonts w:ascii="仿宋_GB2312" w:eastAsia="仿宋_GB2312" w:hAnsi="仿宋_GB2312" w:cs="仿宋_GB2312" w:hint="eastAsia"/>
          <w:bCs/>
          <w:spacing w:val="-6"/>
          <w:sz w:val="32"/>
          <w:szCs w:val="32"/>
        </w:rPr>
        <w:lastRenderedPageBreak/>
        <w:t>115.扎实推进更高水平的平安福建建设，坚持和完善生态文明制度体系研究</w:t>
      </w:r>
    </w:p>
    <w:p w:rsidR="00E46E18" w:rsidRDefault="00E46E18" w:rsidP="00E46E18">
      <w:pPr>
        <w:pStyle w:val="a4"/>
        <w:spacing w:before="0" w:beforeAutospacing="0" w:after="0" w:afterAutospacing="0" w:line="360" w:lineRule="auto"/>
        <w:rPr>
          <w:rFonts w:ascii="仿宋_GB2312" w:eastAsia="仿宋_GB2312" w:hAnsi="仿宋_GB2312" w:cs="仿宋_GB2312" w:hint="eastAsia"/>
          <w:bCs/>
          <w:spacing w:val="-6"/>
          <w:kern w:val="2"/>
          <w:sz w:val="32"/>
          <w:szCs w:val="32"/>
        </w:rPr>
      </w:pPr>
      <w:r>
        <w:rPr>
          <w:rFonts w:ascii="仿宋_GB2312" w:eastAsia="仿宋_GB2312" w:hAnsi="仿宋_GB2312" w:cs="仿宋_GB2312" w:hint="eastAsia"/>
          <w:bCs/>
          <w:spacing w:val="-6"/>
          <w:kern w:val="2"/>
          <w:sz w:val="32"/>
          <w:szCs w:val="32"/>
        </w:rPr>
        <w:t>116.“机制活、产业优、百姓富、生态美”新福建的宏伟蓝图研究</w:t>
      </w:r>
    </w:p>
    <w:p w:rsidR="00E46E18" w:rsidRDefault="00E46E18" w:rsidP="00E46E18">
      <w:pPr>
        <w:pStyle w:val="a4"/>
        <w:spacing w:before="0" w:beforeAutospacing="0" w:after="0" w:afterAutospacing="0" w:line="360" w:lineRule="auto"/>
        <w:rPr>
          <w:rFonts w:ascii="仿宋_GB2312" w:eastAsia="仿宋_GB2312" w:hAnsi="仿宋_GB2312" w:cs="仿宋_GB2312" w:hint="eastAsia"/>
          <w:bCs/>
          <w:spacing w:val="-6"/>
          <w:kern w:val="2"/>
          <w:sz w:val="32"/>
          <w:szCs w:val="32"/>
        </w:rPr>
      </w:pPr>
      <w:r>
        <w:rPr>
          <w:rFonts w:ascii="仿宋_GB2312" w:eastAsia="仿宋_GB2312" w:hAnsi="仿宋_GB2312" w:cs="仿宋_GB2312" w:hint="eastAsia"/>
          <w:bCs/>
          <w:spacing w:val="-6"/>
          <w:kern w:val="2"/>
          <w:sz w:val="32"/>
          <w:szCs w:val="32"/>
        </w:rPr>
        <w:t>117.探索海峡两岸融合发展新路研究</w:t>
      </w:r>
    </w:p>
    <w:p w:rsidR="00E46E18" w:rsidRDefault="00E46E18" w:rsidP="00E46E18">
      <w:pPr>
        <w:pStyle w:val="a4"/>
        <w:spacing w:before="0" w:beforeAutospacing="0" w:after="0" w:afterAutospacing="0" w:line="360" w:lineRule="auto"/>
        <w:rPr>
          <w:rFonts w:ascii="仿宋_GB2312" w:eastAsia="仿宋_GB2312" w:hAnsi="仿宋_GB2312" w:cs="仿宋_GB2312" w:hint="eastAsia"/>
          <w:bCs/>
          <w:spacing w:val="-6"/>
          <w:kern w:val="2"/>
          <w:sz w:val="32"/>
          <w:szCs w:val="32"/>
        </w:rPr>
      </w:pPr>
      <w:r>
        <w:rPr>
          <w:rFonts w:ascii="仿宋_GB2312" w:eastAsia="仿宋_GB2312" w:hAnsi="仿宋_GB2312" w:cs="仿宋_GB2312" w:hint="eastAsia"/>
          <w:bCs/>
          <w:spacing w:val="-6"/>
          <w:kern w:val="2"/>
          <w:sz w:val="32"/>
          <w:szCs w:val="32"/>
        </w:rPr>
        <w:t>118.推进新时代文明实践中心建设研究</w:t>
      </w:r>
    </w:p>
    <w:p w:rsidR="00E46E18" w:rsidRDefault="00E46E18" w:rsidP="00E46E18">
      <w:pPr>
        <w:pStyle w:val="a4"/>
        <w:spacing w:before="0" w:beforeAutospacing="0" w:after="0" w:afterAutospacing="0" w:line="360" w:lineRule="auto"/>
        <w:rPr>
          <w:rFonts w:ascii="仿宋_GB2312" w:eastAsia="仿宋_GB2312" w:hAnsi="仿宋_GB2312" w:cs="仿宋_GB2312" w:hint="eastAsia"/>
          <w:bCs/>
          <w:spacing w:val="-6"/>
          <w:kern w:val="2"/>
          <w:sz w:val="32"/>
          <w:szCs w:val="32"/>
        </w:rPr>
      </w:pPr>
      <w:r>
        <w:rPr>
          <w:rFonts w:ascii="仿宋_GB2312" w:eastAsia="仿宋_GB2312" w:hAnsi="仿宋_GB2312" w:cs="仿宋_GB2312" w:hint="eastAsia"/>
          <w:bCs/>
          <w:spacing w:val="-6"/>
          <w:kern w:val="2"/>
          <w:sz w:val="32"/>
          <w:szCs w:val="32"/>
        </w:rPr>
        <w:t>119.福建全方位推动高质量发展超越研究</w:t>
      </w:r>
    </w:p>
    <w:p w:rsidR="00E46E18" w:rsidRDefault="00E46E18" w:rsidP="00E46E18">
      <w:pPr>
        <w:pStyle w:val="a4"/>
        <w:spacing w:before="0" w:beforeAutospacing="0" w:after="0" w:afterAutospacing="0" w:line="360" w:lineRule="auto"/>
        <w:rPr>
          <w:rFonts w:ascii="仿宋_GB2312" w:eastAsia="仿宋_GB2312" w:hAnsi="仿宋_GB2312" w:cs="仿宋_GB2312" w:hint="eastAsia"/>
          <w:bCs/>
          <w:spacing w:val="-6"/>
          <w:kern w:val="2"/>
          <w:sz w:val="32"/>
          <w:szCs w:val="32"/>
        </w:rPr>
      </w:pPr>
      <w:r>
        <w:rPr>
          <w:rFonts w:ascii="仿宋_GB2312" w:eastAsia="仿宋_GB2312" w:hAnsi="仿宋_GB2312" w:cs="仿宋_GB2312" w:hint="eastAsia"/>
          <w:bCs/>
          <w:spacing w:val="-6"/>
          <w:kern w:val="2"/>
          <w:sz w:val="32"/>
          <w:szCs w:val="32"/>
        </w:rPr>
        <w:t>120.</w:t>
      </w:r>
      <w:r>
        <w:rPr>
          <w:rFonts w:ascii="仿宋_GB2312" w:eastAsia="仿宋_GB2312" w:hAnsi="仿宋_GB2312" w:cs="仿宋_GB2312" w:hint="eastAsia"/>
          <w:sz w:val="32"/>
          <w:szCs w:val="32"/>
        </w:rPr>
        <w:t>福建历史文化名城名街名村保护与活化研究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bCs/>
          <w:spacing w:val="-6"/>
          <w:sz w:val="32"/>
          <w:szCs w:val="32"/>
        </w:rPr>
        <w:t>121.</w:t>
      </w:r>
      <w:r>
        <w:rPr>
          <w:rFonts w:ascii="仿宋_GB2312" w:eastAsia="仿宋_GB2312" w:hAnsi="仿宋_GB2312" w:cs="仿宋_GB2312" w:hint="eastAsia"/>
          <w:sz w:val="32"/>
          <w:szCs w:val="32"/>
        </w:rPr>
        <w:t>福建文物保护利用的实践与思考</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bCs/>
          <w:spacing w:val="-6"/>
          <w:sz w:val="32"/>
          <w:szCs w:val="32"/>
        </w:rPr>
        <w:t>122.</w:t>
      </w:r>
      <w:r>
        <w:rPr>
          <w:rFonts w:ascii="仿宋_GB2312" w:eastAsia="仿宋_GB2312" w:hAnsi="仿宋_GB2312" w:cs="仿宋_GB2312" w:hint="eastAsia"/>
          <w:sz w:val="32"/>
          <w:szCs w:val="32"/>
        </w:rPr>
        <w:t>福建红色文化资源的保护、挖掘、整理、利用研究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bCs/>
          <w:spacing w:val="-6"/>
          <w:sz w:val="32"/>
          <w:szCs w:val="32"/>
        </w:rPr>
        <w:t>123.</w:t>
      </w:r>
      <w:r>
        <w:rPr>
          <w:rFonts w:ascii="仿宋_GB2312" w:eastAsia="仿宋_GB2312" w:hAnsi="仿宋_GB2312" w:cs="仿宋_GB2312" w:hint="eastAsia"/>
          <w:sz w:val="32"/>
          <w:szCs w:val="32"/>
        </w:rPr>
        <w:t>闽台文化融合发展研究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bCs/>
          <w:spacing w:val="-6"/>
          <w:sz w:val="32"/>
          <w:szCs w:val="32"/>
        </w:rPr>
        <w:t>124.</w:t>
      </w:r>
      <w:r>
        <w:rPr>
          <w:rFonts w:ascii="仿宋_GB2312" w:eastAsia="仿宋_GB2312" w:hAnsi="仿宋_GB2312" w:cs="仿宋_GB2312" w:hint="eastAsia"/>
          <w:sz w:val="32"/>
          <w:szCs w:val="32"/>
        </w:rPr>
        <w:t>闽台青年就业创业研究</w:t>
      </w:r>
    </w:p>
    <w:p w:rsidR="00E46E18" w:rsidRDefault="00E46E18" w:rsidP="00E46E18">
      <w:pPr>
        <w:spacing w:line="600" w:lineRule="exact"/>
        <w:rPr>
          <w:rFonts w:ascii="仿宋_GB2312" w:eastAsia="仿宋_GB2312" w:hAnsi="仿宋_GB2312" w:cs="仿宋_GB2312" w:hint="eastAsia"/>
          <w:sz w:val="32"/>
          <w:szCs w:val="32"/>
        </w:rPr>
      </w:pPr>
      <w:r>
        <w:rPr>
          <w:rFonts w:ascii="仿宋_GB2312" w:eastAsia="仿宋_GB2312" w:hAnsi="仿宋_GB2312" w:cs="仿宋_GB2312" w:hint="eastAsia"/>
          <w:bCs/>
          <w:spacing w:val="-6"/>
          <w:sz w:val="32"/>
          <w:szCs w:val="32"/>
        </w:rPr>
        <w:t>125.</w:t>
      </w:r>
      <w:r>
        <w:rPr>
          <w:rFonts w:ascii="仿宋_GB2312" w:eastAsia="仿宋_GB2312" w:hAnsi="仿宋_GB2312" w:cs="仿宋_GB2312" w:hint="eastAsia"/>
          <w:sz w:val="32"/>
          <w:szCs w:val="32"/>
        </w:rPr>
        <w:t>福建非遗保护与发展研究</w:t>
      </w:r>
    </w:p>
    <w:p w:rsidR="000D1CB4" w:rsidRDefault="000D1CB4"/>
    <w:sectPr w:rsidR="000D1CB4" w:rsidSect="000D1CB4">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auto"/>
    <w:pitch w:val="default"/>
    <w:sig w:usb0="00000000" w:usb1="080E0000" w:usb2="00000000" w:usb3="00000000" w:csb0="00040000" w:csb1="00000000"/>
  </w:font>
  <w:font w:name="方正小标宋简体">
    <w:altName w:val="微软雅黑"/>
    <w:charset w:val="86"/>
    <w:family w:val="auto"/>
    <w:pitch w:val="default"/>
    <w:sig w:usb0="00000000"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E46E18"/>
    <w:rsid w:val="000C6977"/>
    <w:rsid w:val="000D1CB4"/>
    <w:rsid w:val="002D56EE"/>
    <w:rsid w:val="00745D5C"/>
    <w:rsid w:val="009245B4"/>
    <w:rsid w:val="00951371"/>
    <w:rsid w:val="00996BD7"/>
    <w:rsid w:val="00BE2308"/>
    <w:rsid w:val="00BE7316"/>
    <w:rsid w:val="00CD73C6"/>
    <w:rsid w:val="00E46E18"/>
    <w:rsid w:val="00F2636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E46E18"/>
    <w:pPr>
      <w:widowControl w:val="0"/>
      <w:jc w:val="both"/>
    </w:pPr>
    <w:rPr>
      <w:rFonts w:ascii="Calibri" w:eastAsia="宋体" w:hAnsi="Calibri"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
    <w:rsid w:val="00E46E18"/>
    <w:pPr>
      <w:widowControl/>
      <w:spacing w:before="100" w:beforeAutospacing="1" w:after="100" w:afterAutospacing="1"/>
      <w:jc w:val="left"/>
    </w:pPr>
    <w:rPr>
      <w:rFonts w:ascii="宋体" w:hAnsi="宋体" w:cs="宋体"/>
      <w:kern w:val="0"/>
      <w:sz w:val="24"/>
    </w:rPr>
  </w:style>
  <w:style w:type="paragraph" w:styleId="a5">
    <w:name w:val="Body Text"/>
    <w:basedOn w:val="a"/>
    <w:link w:val="Char"/>
    <w:uiPriority w:val="99"/>
    <w:semiHidden/>
    <w:unhideWhenUsed/>
    <w:rsid w:val="00E46E18"/>
    <w:pPr>
      <w:spacing w:after="120"/>
    </w:pPr>
  </w:style>
  <w:style w:type="character" w:customStyle="1" w:styleId="Char">
    <w:name w:val="正文文本 Char"/>
    <w:basedOn w:val="a1"/>
    <w:link w:val="a5"/>
    <w:uiPriority w:val="99"/>
    <w:semiHidden/>
    <w:rsid w:val="00E46E18"/>
    <w:rPr>
      <w:rFonts w:ascii="Calibri" w:eastAsia="宋体" w:hAnsi="Calibri" w:cs="Times New Roman"/>
      <w:szCs w:val="24"/>
    </w:rPr>
  </w:style>
  <w:style w:type="paragraph" w:styleId="a0">
    <w:name w:val="Body Text First Indent"/>
    <w:basedOn w:val="a5"/>
    <w:link w:val="Char0"/>
    <w:rsid w:val="00E46E18"/>
    <w:pPr>
      <w:ind w:firstLineChars="100" w:firstLine="420"/>
    </w:pPr>
    <w:rPr>
      <w:kern w:val="0"/>
      <w:sz w:val="20"/>
      <w:szCs w:val="20"/>
    </w:rPr>
  </w:style>
  <w:style w:type="character" w:customStyle="1" w:styleId="Char0">
    <w:name w:val="正文首行缩进 Char"/>
    <w:basedOn w:val="Char"/>
    <w:link w:val="a0"/>
    <w:rsid w:val="00E46E18"/>
    <w:rPr>
      <w:kern w:val="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447</Words>
  <Characters>2553</Characters>
  <Application>Microsoft Office Word</Application>
  <DocSecurity>0</DocSecurity>
  <Lines>21</Lines>
  <Paragraphs>5</Paragraphs>
  <ScaleCrop>false</ScaleCrop>
  <Company/>
  <LinksUpToDate>false</LinksUpToDate>
  <CharactersWithSpaces>2995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吴青科</dc:creator>
  <cp:lastModifiedBy>吴青科</cp:lastModifiedBy>
  <cp:revision>1</cp:revision>
  <dcterms:created xsi:type="dcterms:W3CDTF">2020-07-03T08:48:00Z</dcterms:created>
  <dcterms:modified xsi:type="dcterms:W3CDTF">2020-07-03T08:49:00Z</dcterms:modified>
</cp:coreProperties>
</file>