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p>
    <w:p>
      <w:pPr>
        <w:ind w:firstLine="640" w:firstLineChars="200"/>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《实验室安全知识》在线课程主要参数</w:t>
      </w:r>
      <w:bookmarkStart w:id="9" w:name="_GoBack"/>
      <w:bookmarkEnd w:id="9"/>
      <w:r>
        <w:rPr>
          <w:rFonts w:hint="eastAsia" w:ascii="黑体" w:hAnsi="黑体" w:eastAsia="黑体" w:cs="黑体"/>
          <w:sz w:val="32"/>
          <w:szCs w:val="32"/>
          <w:lang w:val="en-US" w:eastAsia="zh-CN"/>
        </w:rPr>
        <w:t>要求</w:t>
      </w:r>
    </w:p>
    <w:p>
      <w:pPr>
        <w:pStyle w:val="2"/>
        <w:spacing w:line="360" w:lineRule="auto"/>
        <w:rPr>
          <w:rFonts w:ascii="宋体" w:hAnsi="宋体" w:eastAsia="宋体" w:cs="宋体"/>
        </w:rPr>
      </w:pPr>
      <w:r>
        <w:rPr>
          <w:rFonts w:hint="eastAsia" w:ascii="宋体" w:hAnsi="宋体" w:eastAsia="宋体" w:cs="宋体"/>
        </w:rPr>
        <w:t>一、主要技术参数</w:t>
      </w:r>
    </w:p>
    <w:p>
      <w:pPr>
        <w:snapToGrid w:val="0"/>
        <w:spacing w:line="360" w:lineRule="auto"/>
        <w:ind w:firstLine="480" w:firstLineChars="200"/>
        <w:rPr>
          <w:rFonts w:ascii="宋体" w:hAnsi="宋体" w:cs="宋体"/>
        </w:rPr>
      </w:pPr>
      <w:r>
        <w:rPr>
          <w:rFonts w:ascii="宋体" w:hAnsi="宋体" w:cs="宋体"/>
          <w:sz w:val="24"/>
          <w:szCs w:val="24"/>
        </w:rPr>
        <w:t>高等学校实验室作为实验教学的基地，既是培训学生实验能力及专业技能的重要场所，又是培养学生创新能力和科研素质的重要基地。实验室安全是高等学校实验室建设与管理的重要组成部分，也是校园安全教育与文化培养的重要组成部分，同时实验室也是高校消防安全重点防范部位。</w:t>
      </w:r>
      <w:r>
        <w:rPr>
          <w:rFonts w:hint="eastAsia" w:ascii="宋体" w:hAnsi="宋体" w:cs="宋体"/>
          <w:sz w:val="24"/>
          <w:szCs w:val="24"/>
        </w:rPr>
        <w:t>《实验室安全知识》在线课程，</w:t>
      </w:r>
      <w:r>
        <w:rPr>
          <w:rFonts w:hint="eastAsia" w:ascii="宋体" w:hAnsi="宋体" w:cs="宋体"/>
          <w:sz w:val="24"/>
          <w:szCs w:val="24"/>
          <w:lang w:eastAsia="zh-CN"/>
        </w:rPr>
        <w:t>应</w:t>
      </w:r>
      <w:r>
        <w:rPr>
          <w:rFonts w:hint="eastAsia" w:ascii="宋体" w:hAnsi="宋体" w:cs="宋体"/>
          <w:sz w:val="24"/>
          <w:szCs w:val="24"/>
        </w:rPr>
        <w:t>不同于传统的课程理论教育，强调课程的实践性。</w:t>
      </w:r>
      <w:r>
        <w:rPr>
          <w:rFonts w:ascii="宋体" w:hAnsi="宋体" w:cs="宋体"/>
          <w:sz w:val="24"/>
          <w:szCs w:val="24"/>
        </w:rPr>
        <w:t>课程通过大量的视频资料和实际案例，系统介绍了实验室的安全隐患、安全防范措施以及事故发生救助方法，旨在提高学生实验室安全防范意识，加强安全防范措施，有效防范安全事故发生或和减低安全事故危害。</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1、授课教师要求</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课程的主讲教师</w:t>
      </w:r>
      <w:r>
        <w:rPr>
          <w:rFonts w:ascii="宋体" w:hAnsi="宋体" w:cs="宋体"/>
          <w:sz w:val="24"/>
          <w:szCs w:val="24"/>
        </w:rPr>
        <w:t>应为各个领域的教授</w:t>
      </w:r>
      <w:r>
        <w:rPr>
          <w:rFonts w:hint="eastAsia" w:ascii="宋体" w:hAnsi="宋体" w:cs="宋体"/>
          <w:sz w:val="24"/>
          <w:szCs w:val="24"/>
        </w:rPr>
        <w:t>。</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2、课程的主要内容要求：</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课程应包含以下主要内容：1、</w:t>
      </w:r>
      <w:r>
        <w:rPr>
          <w:rFonts w:ascii="宋体" w:hAnsi="宋体" w:cs="宋体"/>
          <w:sz w:val="24"/>
          <w:szCs w:val="24"/>
        </w:rPr>
        <w:t>实验室安全隐患及安全管理</w:t>
      </w:r>
      <w:r>
        <w:rPr>
          <w:rFonts w:hint="eastAsia" w:ascii="宋体" w:hAnsi="宋体" w:cs="宋体"/>
          <w:sz w:val="24"/>
          <w:szCs w:val="24"/>
        </w:rPr>
        <w:t>，2、</w:t>
      </w:r>
      <w:r>
        <w:rPr>
          <w:rFonts w:ascii="宋体" w:hAnsi="宋体" w:cs="宋体"/>
          <w:sz w:val="24"/>
          <w:szCs w:val="24"/>
        </w:rPr>
        <w:t>实验室一般安全知识</w:t>
      </w:r>
      <w:r>
        <w:rPr>
          <w:rFonts w:hint="eastAsia" w:ascii="宋体" w:hAnsi="宋体" w:cs="宋体"/>
          <w:sz w:val="24"/>
          <w:szCs w:val="24"/>
        </w:rPr>
        <w:t>，3、</w:t>
      </w:r>
      <w:r>
        <w:rPr>
          <w:rFonts w:ascii="宋体" w:hAnsi="宋体" w:cs="宋体"/>
          <w:sz w:val="24"/>
          <w:szCs w:val="24"/>
        </w:rPr>
        <w:t>化学实验安全与防护</w:t>
      </w:r>
      <w:r>
        <w:rPr>
          <w:rFonts w:hint="eastAsia" w:ascii="宋体" w:hAnsi="宋体" w:cs="宋体"/>
          <w:sz w:val="24"/>
          <w:szCs w:val="24"/>
        </w:rPr>
        <w:t>，4、</w:t>
      </w:r>
      <w:r>
        <w:rPr>
          <w:rFonts w:ascii="宋体" w:hAnsi="宋体" w:cs="宋体"/>
          <w:sz w:val="24"/>
          <w:szCs w:val="24"/>
        </w:rPr>
        <w:t>医学实验和动物实验安全</w:t>
      </w:r>
      <w:r>
        <w:rPr>
          <w:rFonts w:hint="eastAsia" w:ascii="宋体" w:hAnsi="宋体" w:cs="宋体"/>
          <w:sz w:val="24"/>
          <w:szCs w:val="24"/>
        </w:rPr>
        <w:t>，5、</w:t>
      </w:r>
      <w:r>
        <w:rPr>
          <w:rFonts w:ascii="宋体" w:hAnsi="宋体" w:cs="宋体"/>
          <w:sz w:val="24"/>
          <w:szCs w:val="24"/>
        </w:rPr>
        <w:t>生物实验危害和分类</w:t>
      </w:r>
      <w:r>
        <w:rPr>
          <w:rFonts w:hint="eastAsia" w:ascii="宋体" w:hAnsi="宋体" w:cs="宋体"/>
          <w:sz w:val="24"/>
          <w:szCs w:val="24"/>
        </w:rPr>
        <w:t>，6、</w:t>
      </w:r>
      <w:r>
        <w:rPr>
          <w:rFonts w:ascii="宋体" w:hAnsi="宋体" w:cs="宋体"/>
          <w:sz w:val="24"/>
          <w:szCs w:val="24"/>
        </w:rPr>
        <w:t>生物实验安全防护</w:t>
      </w:r>
      <w:r>
        <w:rPr>
          <w:rFonts w:hint="eastAsia" w:ascii="宋体" w:hAnsi="宋体" w:cs="宋体"/>
          <w:sz w:val="24"/>
          <w:szCs w:val="24"/>
        </w:rPr>
        <w:t>，</w:t>
      </w:r>
      <w:r>
        <w:rPr>
          <w:rFonts w:hint="eastAsia" w:ascii="宋体" w:hAnsi="宋体" w:cs="宋体"/>
          <w:sz w:val="24"/>
          <w:szCs w:val="24"/>
          <w:lang w:val="en-US" w:eastAsia="zh-CN"/>
        </w:rPr>
        <w:t>7</w:t>
      </w:r>
      <w:r>
        <w:rPr>
          <w:rFonts w:hint="eastAsia" w:ascii="宋体" w:hAnsi="宋体" w:cs="宋体"/>
          <w:sz w:val="24"/>
          <w:szCs w:val="24"/>
        </w:rPr>
        <w:t>、</w:t>
      </w:r>
      <w:r>
        <w:rPr>
          <w:rFonts w:ascii="宋体" w:hAnsi="宋体" w:cs="宋体"/>
          <w:sz w:val="24"/>
          <w:szCs w:val="24"/>
        </w:rPr>
        <w:t>消防安全基本知识</w:t>
      </w: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w:t>
      </w:r>
      <w:r>
        <w:rPr>
          <w:rFonts w:ascii="宋体" w:hAnsi="宋体" w:cs="宋体"/>
          <w:sz w:val="24"/>
          <w:szCs w:val="24"/>
        </w:rPr>
        <w:t>火场逃生与应急处理法则</w:t>
      </w:r>
      <w:r>
        <w:rPr>
          <w:rFonts w:hint="eastAsia" w:ascii="宋体" w:hAnsi="宋体" w:cs="宋体"/>
          <w:sz w:val="24"/>
          <w:szCs w:val="24"/>
        </w:rPr>
        <w:t>。</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3、网络学习平台的功能要求：</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网络学习平台必须具有助推个性化教学的功能。实现个性化教学，教师必须能对学生有一个整体性的了解，例如对学生的学习习惯、学习兴趣、学习偏好以及学习中遇到的困难等等。而这些都依赖于平台的记录功能，准确记录到每位用户的使用学习资源的过程细节，如什么时候点击的、停留了多长时间、答对了多少题、资源的回访率等等，这些都可以作为学习资源质量的精准分析，进而帮助教师优化学习资源的设计与开发。</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作为用来教学管理和教学改进的重要依据，平台应该十分重视大数据的展示。管理员和教师可以看到学生学习的大数据部分，其中管理员可以查看所有课程，教师可以查看到自己所授权讲授的课程。基于平台的学习应该留下所有的学习行为，并形成相应的大数据，学生学习行为大数据分析功能支持特别关注数据、学习习惯数据、学习活跃数据、学习进度数据、讨论活跃数据、得分分布数据、选课记录、退课记录、课程访问记录、视频观看记录、每题最终得分记录、每题每次提交记录、发帖和回帖记录、个人总成绩、个人记录等原数据下载，可通过这些数据进行分析。</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3.1 平台必须提供当前选课人数、累计选课人数、累计退课人数，以供我们进行环比数据分析，并能提供选课人数随选课时间的变化分析图。</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3.2 提供活跃用户占比、活跃时间热力图，直观展示近期用户的学习习惯。按章节实现视频、讨论、习题多个维度的分析，其中习题实现答题人数占比、不同正确率人数的占比分析。</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3.3 通过问答模式分析、社会网络分析了解整体发言趋势、学生之间的互动情况，提供总回帖数、总发帖数、零回复帖子数以及这些数据同昨日的环比分析，并通过图表展示，找出学生的学习兴趣。</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3.4 视频统计，通过拖拽、漏看人数、无拖拽漏看人数、人均拖拽漏看视频数、人均未看完视频数四个维度分析视频内容，并能通过下载Excel、CSV格式文件进行高级数据分析，分析得出教学视频是否真的帮助了学生的学习。</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3.5 问题聚焦或者话题聚焦，通过视频观看记录中的回看率比较高的视频节点，可推出大部分学生对哪些学习内容感兴趣或者疑难点在哪个地方，结合讨论共享中频率高的话题，教师可分析出在翻转学习过程中，课堂授课的重点在哪些地方。</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4、对供应商实力的要求：</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4.1供应商资质：</w:t>
      </w:r>
    </w:p>
    <w:p>
      <w:pPr>
        <w:numPr>
          <w:ilvl w:val="0"/>
          <w:numId w:val="1"/>
        </w:numPr>
        <w:snapToGrid w:val="0"/>
        <w:spacing w:line="360" w:lineRule="auto"/>
        <w:ind w:firstLine="480" w:firstLineChars="200"/>
        <w:rPr>
          <w:rFonts w:ascii="宋体" w:hAnsi="宋体" w:cs="宋体"/>
          <w:sz w:val="24"/>
          <w:szCs w:val="24"/>
        </w:rPr>
      </w:pPr>
      <w:r>
        <w:rPr>
          <w:rFonts w:hint="eastAsia" w:ascii="宋体" w:hAnsi="宋体" w:cs="宋体"/>
          <w:sz w:val="24"/>
          <w:szCs w:val="24"/>
        </w:rPr>
        <w:t>具有高新技术企业证书。</w:t>
      </w:r>
    </w:p>
    <w:p>
      <w:pPr>
        <w:numPr>
          <w:ilvl w:val="0"/>
          <w:numId w:val="1"/>
        </w:numPr>
        <w:snapToGrid w:val="0"/>
        <w:spacing w:line="360" w:lineRule="auto"/>
        <w:ind w:firstLine="480" w:firstLineChars="200"/>
        <w:rPr>
          <w:rFonts w:ascii="宋体" w:hAnsi="宋体" w:cs="宋体"/>
          <w:sz w:val="24"/>
          <w:szCs w:val="24"/>
        </w:rPr>
      </w:pPr>
      <w:r>
        <w:rPr>
          <w:rFonts w:hint="eastAsia" w:ascii="宋体" w:hAnsi="宋体" w:cs="宋体"/>
          <w:sz w:val="24"/>
          <w:szCs w:val="24"/>
        </w:rPr>
        <w:t>网络学习慕课平台具有计算机软件著作权登记证书。</w:t>
      </w:r>
    </w:p>
    <w:p>
      <w:pPr>
        <w:numPr>
          <w:ilvl w:val="0"/>
          <w:numId w:val="1"/>
        </w:numPr>
        <w:snapToGrid w:val="0"/>
        <w:spacing w:line="360" w:lineRule="auto"/>
        <w:ind w:firstLine="480" w:firstLineChars="200"/>
        <w:rPr>
          <w:rFonts w:ascii="宋体" w:hAnsi="宋体" w:cs="宋体"/>
          <w:sz w:val="24"/>
          <w:szCs w:val="24"/>
        </w:rPr>
      </w:pPr>
      <w:r>
        <w:rPr>
          <w:rFonts w:hint="eastAsia" w:ascii="宋体" w:hAnsi="宋体" w:cs="宋体"/>
          <w:sz w:val="24"/>
          <w:szCs w:val="24"/>
        </w:rPr>
        <w:t>具有广播电视节目制作经营许可证书。</w:t>
      </w:r>
    </w:p>
    <w:p>
      <w:pPr>
        <w:numPr>
          <w:ilvl w:val="0"/>
          <w:numId w:val="1"/>
        </w:numPr>
        <w:snapToGrid w:val="0"/>
        <w:spacing w:line="360" w:lineRule="auto"/>
        <w:ind w:firstLine="480" w:firstLineChars="200"/>
        <w:rPr>
          <w:rFonts w:ascii="宋体" w:hAnsi="宋体" w:cs="宋体"/>
          <w:sz w:val="24"/>
          <w:szCs w:val="24"/>
        </w:rPr>
      </w:pPr>
      <w:r>
        <w:rPr>
          <w:rFonts w:hint="eastAsia" w:ascii="宋体" w:hAnsi="宋体" w:cs="宋体"/>
          <w:sz w:val="24"/>
          <w:szCs w:val="24"/>
        </w:rPr>
        <w:t>网络学习慕课平台具有软件产品测试报告（具有资质的第三方检测机构出具）。</w:t>
      </w:r>
    </w:p>
    <w:p>
      <w:pPr>
        <w:numPr>
          <w:ilvl w:val="0"/>
          <w:numId w:val="1"/>
        </w:numPr>
        <w:snapToGrid w:val="0"/>
        <w:spacing w:line="360" w:lineRule="auto"/>
        <w:ind w:firstLine="480" w:firstLineChars="200"/>
        <w:rPr>
          <w:rFonts w:ascii="宋体" w:hAnsi="宋体" w:cs="宋体"/>
          <w:sz w:val="24"/>
          <w:szCs w:val="24"/>
        </w:rPr>
      </w:pPr>
      <w:r>
        <w:rPr>
          <w:rFonts w:hint="eastAsia" w:ascii="宋体" w:hAnsi="宋体" w:cs="宋体"/>
          <w:sz w:val="24"/>
          <w:szCs w:val="24"/>
        </w:rPr>
        <w:t>2015年以来具有行业协会、银行等第三方机构颁发的企业信用证明文件。</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4.2平台实力：</w:t>
      </w:r>
    </w:p>
    <w:p>
      <w:pPr>
        <w:snapToGrid w:val="0"/>
        <w:spacing w:line="360" w:lineRule="auto"/>
        <w:ind w:firstLine="480" w:firstLineChars="200"/>
        <w:rPr>
          <w:rFonts w:ascii="宋体" w:hAnsi="宋体" w:cs="宋体"/>
          <w:sz w:val="24"/>
        </w:rPr>
      </w:pPr>
      <w:r>
        <w:rPr>
          <w:rFonts w:hint="eastAsia" w:ascii="宋体" w:hAnsi="宋体" w:cs="宋体"/>
          <w:sz w:val="24"/>
        </w:rPr>
        <w:t>供应商所提供的MOOC学习平台与国内外主流MOOC平台Coursera、Edx、Udacity、Fun签署战略合作协议，须提供战略合作协议或备忘录的复印件并加盖投标人公章。</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4.3课程建设实力：</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以供应商所提供的MOOC平台为主要开课平台，参评并通过2017年国家精品在线开放课程的数量大于20门。 </w:t>
      </w:r>
    </w:p>
    <w:p>
      <w:pPr>
        <w:snapToGrid w:val="0"/>
        <w:spacing w:line="360" w:lineRule="auto"/>
        <w:ind w:firstLine="480" w:firstLineChars="200"/>
        <w:rPr>
          <w:rFonts w:ascii="宋体" w:hAnsi="宋体" w:cs="宋体"/>
        </w:rPr>
      </w:pPr>
      <w:r>
        <w:rPr>
          <w:rFonts w:hint="eastAsia" w:ascii="宋体" w:hAnsi="宋体" w:cs="宋体"/>
          <w:sz w:val="24"/>
          <w:szCs w:val="24"/>
        </w:rPr>
        <w:t>课程清单及主要开课平台以《教育部办公厅关于公布2017年国家精品在线开放课程认定结果的通知》为准。</w:t>
      </w:r>
    </w:p>
    <w:p>
      <w:pPr>
        <w:pStyle w:val="2"/>
        <w:numPr>
          <w:ilvl w:val="0"/>
          <w:numId w:val="2"/>
        </w:numPr>
        <w:spacing w:line="360" w:lineRule="auto"/>
        <w:rPr>
          <w:rFonts w:ascii="宋体" w:hAnsi="宋体" w:eastAsia="宋体" w:cs="宋体"/>
        </w:rPr>
      </w:pPr>
      <w:r>
        <w:rPr>
          <w:rFonts w:hint="eastAsia" w:ascii="宋体" w:hAnsi="宋体" w:eastAsia="宋体" w:cs="宋体"/>
        </w:rPr>
        <w:t>售后服务方案</w:t>
      </w:r>
    </w:p>
    <w:p>
      <w:pPr>
        <w:spacing w:line="360" w:lineRule="auto"/>
        <w:rPr>
          <w:rFonts w:ascii="宋体" w:hAnsi="宋体" w:cs="宋体"/>
          <w:sz w:val="24"/>
          <w:szCs w:val="24"/>
        </w:rPr>
      </w:pPr>
      <w:r>
        <w:rPr>
          <w:rFonts w:hint="eastAsia" w:ascii="宋体" w:hAnsi="宋体" w:cs="宋体"/>
          <w:b/>
          <w:bCs/>
          <w:sz w:val="24"/>
          <w:szCs w:val="24"/>
        </w:rPr>
        <w:t>1.使用期限：</w:t>
      </w:r>
      <w:r>
        <w:rPr>
          <w:rFonts w:hint="eastAsia" w:ascii="宋体" w:hAnsi="宋体" w:cs="宋体"/>
          <w:sz w:val="24"/>
          <w:szCs w:val="24"/>
        </w:rPr>
        <w:t>20</w:t>
      </w:r>
      <w:r>
        <w:rPr>
          <w:rFonts w:hint="eastAsia" w:ascii="宋体" w:hAnsi="宋体" w:cs="宋体"/>
          <w:sz w:val="24"/>
          <w:szCs w:val="24"/>
          <w:lang w:val="en-US" w:eastAsia="zh-CN"/>
        </w:rPr>
        <w:t>20</w:t>
      </w:r>
      <w:r>
        <w:rPr>
          <w:rFonts w:hint="eastAsia" w:ascii="宋体" w:hAnsi="宋体" w:cs="宋体"/>
          <w:sz w:val="24"/>
          <w:szCs w:val="24"/>
        </w:rPr>
        <w:t>年</w:t>
      </w:r>
      <w:r>
        <w:rPr>
          <w:rFonts w:hint="eastAsia" w:ascii="宋体" w:hAnsi="宋体" w:cs="宋体"/>
          <w:sz w:val="24"/>
          <w:szCs w:val="24"/>
          <w:lang w:val="en-US" w:eastAsia="zh-CN"/>
        </w:rPr>
        <w:t>10</w:t>
      </w:r>
      <w:r>
        <w:rPr>
          <w:rFonts w:hint="eastAsia" w:ascii="宋体" w:hAnsi="宋体" w:cs="宋体"/>
          <w:sz w:val="24"/>
          <w:szCs w:val="24"/>
        </w:rPr>
        <w:t>月-20</w:t>
      </w:r>
      <w:r>
        <w:rPr>
          <w:rFonts w:hint="eastAsia" w:ascii="宋体" w:hAnsi="宋体" w:cs="宋体"/>
          <w:sz w:val="24"/>
          <w:szCs w:val="24"/>
          <w:lang w:val="en-US" w:eastAsia="zh-CN"/>
        </w:rPr>
        <w:t>22</w:t>
      </w:r>
      <w:r>
        <w:rPr>
          <w:rFonts w:hint="eastAsia" w:ascii="宋体" w:hAnsi="宋体" w:cs="宋体"/>
          <w:sz w:val="24"/>
          <w:szCs w:val="24"/>
        </w:rPr>
        <w:t>年10月。</w:t>
      </w:r>
    </w:p>
    <w:p>
      <w:pPr>
        <w:pStyle w:val="10"/>
        <w:spacing w:line="360" w:lineRule="auto"/>
        <w:rPr>
          <w:rFonts w:cs="宋体"/>
          <w:sz w:val="24"/>
          <w:szCs w:val="24"/>
        </w:rPr>
      </w:pPr>
      <w:r>
        <w:rPr>
          <w:rFonts w:hint="eastAsia" w:cs="宋体"/>
          <w:sz w:val="24"/>
          <w:szCs w:val="24"/>
        </w:rPr>
        <w:t>2.免费保修</w:t>
      </w:r>
    </w:p>
    <w:p>
      <w:pPr>
        <w:spacing w:line="360" w:lineRule="auto"/>
        <w:rPr>
          <w:rFonts w:ascii="宋体" w:hAnsi="宋体" w:cs="宋体"/>
          <w:sz w:val="24"/>
          <w:szCs w:val="24"/>
        </w:rPr>
      </w:pPr>
      <w:r>
        <w:rPr>
          <w:rFonts w:hint="eastAsia" w:ascii="宋体" w:hAnsi="宋体" w:cs="宋体"/>
          <w:sz w:val="24"/>
          <w:szCs w:val="24"/>
        </w:rPr>
        <w:t>1.1 网络学习慕课平台和移动端APP软件1年质保期平台运营维护升级。</w:t>
      </w:r>
    </w:p>
    <w:p>
      <w:pPr>
        <w:spacing w:line="360" w:lineRule="auto"/>
        <w:rPr>
          <w:rFonts w:ascii="宋体" w:hAnsi="宋体" w:cs="宋体"/>
          <w:sz w:val="24"/>
          <w:szCs w:val="24"/>
        </w:rPr>
      </w:pPr>
      <w:r>
        <w:rPr>
          <w:rFonts w:hint="eastAsia" w:ascii="宋体" w:hAnsi="宋体" w:cs="宋体"/>
          <w:color w:val="000000"/>
          <w:sz w:val="24"/>
          <w:szCs w:val="24"/>
        </w:rPr>
        <w:t>1.2</w:t>
      </w:r>
      <w:r>
        <w:rPr>
          <w:rFonts w:hint="eastAsia" w:ascii="宋体" w:hAnsi="宋体" w:cs="宋体"/>
          <w:sz w:val="24"/>
          <w:szCs w:val="24"/>
        </w:rPr>
        <w:t>在系统质保期内，提供专门的技术支持工程师，解答用户相关问题。</w:t>
      </w:r>
    </w:p>
    <w:p>
      <w:pPr>
        <w:spacing w:line="360" w:lineRule="auto"/>
        <w:rPr>
          <w:rFonts w:ascii="宋体" w:hAnsi="宋体" w:cs="宋体"/>
          <w:sz w:val="24"/>
          <w:szCs w:val="24"/>
        </w:rPr>
      </w:pPr>
      <w:r>
        <w:rPr>
          <w:rFonts w:hint="eastAsia" w:ascii="宋体" w:hAnsi="宋体" w:cs="宋体"/>
          <w:sz w:val="24"/>
          <w:szCs w:val="24"/>
        </w:rPr>
        <w:t xml:space="preserve">1.3提供系统保障全年7*24小时的连续运行。 </w:t>
      </w:r>
    </w:p>
    <w:p>
      <w:pPr>
        <w:pStyle w:val="10"/>
        <w:spacing w:line="360" w:lineRule="auto"/>
        <w:rPr>
          <w:rFonts w:cs="宋体"/>
          <w:sz w:val="24"/>
          <w:szCs w:val="24"/>
        </w:rPr>
      </w:pPr>
      <w:r>
        <w:rPr>
          <w:rFonts w:hint="eastAsia" w:cs="宋体"/>
          <w:sz w:val="24"/>
          <w:szCs w:val="24"/>
        </w:rPr>
        <w:t>3.应急维修</w:t>
      </w:r>
    </w:p>
    <w:p>
      <w:pPr>
        <w:snapToGrid w:val="0"/>
        <w:spacing w:line="360" w:lineRule="auto"/>
        <w:rPr>
          <w:rFonts w:ascii="宋体" w:hAnsi="宋体" w:cs="宋体"/>
          <w:color w:val="000000"/>
          <w:sz w:val="24"/>
          <w:szCs w:val="24"/>
        </w:rPr>
      </w:pPr>
      <w:r>
        <w:rPr>
          <w:rFonts w:hint="eastAsia" w:ascii="宋体" w:hAnsi="宋体" w:cs="宋体"/>
          <w:sz w:val="24"/>
          <w:szCs w:val="24"/>
        </w:rPr>
        <w:t xml:space="preserve">3.1 </w:t>
      </w:r>
      <w:r>
        <w:rPr>
          <w:rFonts w:hint="eastAsia" w:ascii="宋体" w:hAnsi="宋体" w:cs="宋体"/>
          <w:color w:val="000000"/>
          <w:sz w:val="24"/>
          <w:szCs w:val="24"/>
        </w:rPr>
        <w:t>系统升级：及时提供平台的软件升级服务。</w:t>
      </w:r>
    </w:p>
    <w:p>
      <w:pPr>
        <w:snapToGrid w:val="0"/>
        <w:spacing w:line="360" w:lineRule="auto"/>
        <w:rPr>
          <w:rFonts w:ascii="宋体" w:hAnsi="宋体" w:cs="宋体"/>
          <w:color w:val="000000"/>
          <w:sz w:val="24"/>
          <w:szCs w:val="24"/>
        </w:rPr>
      </w:pPr>
      <w:r>
        <w:rPr>
          <w:rFonts w:hint="eastAsia" w:ascii="宋体" w:hAnsi="宋体" w:cs="宋体"/>
          <w:color w:val="000000"/>
          <w:sz w:val="24"/>
          <w:szCs w:val="24"/>
        </w:rPr>
        <w:t>3.2 文档服务：整个服务过程均需有完善的文档记录，便于跟踪、分析问题；对各项服务提供详细的书面报告，包括故障处理报告、健康巡检报告、系统性能检测调优报告、维护总表报告、服务年度报告等。</w:t>
      </w:r>
    </w:p>
    <w:p>
      <w:pPr>
        <w:snapToGrid w:val="0"/>
        <w:spacing w:line="360" w:lineRule="auto"/>
        <w:rPr>
          <w:rFonts w:ascii="宋体" w:hAnsi="宋体" w:cs="宋体"/>
          <w:color w:val="000000"/>
          <w:sz w:val="24"/>
          <w:szCs w:val="24"/>
        </w:rPr>
      </w:pPr>
      <w:r>
        <w:rPr>
          <w:rFonts w:hint="eastAsia" w:ascii="宋体" w:hAnsi="宋体" w:cs="宋体"/>
          <w:color w:val="000000"/>
          <w:sz w:val="24"/>
          <w:szCs w:val="24"/>
        </w:rPr>
        <w:t>3.3 运行支持：对系统运行过程中用户及业务部门的问题提供解答和问题解决跟踪，对于关键业务点的上线推广与运行提供现场保障。</w:t>
      </w:r>
    </w:p>
    <w:p>
      <w:pPr>
        <w:spacing w:line="360" w:lineRule="auto"/>
        <w:rPr>
          <w:rFonts w:ascii="宋体" w:hAnsi="宋体" w:cs="宋体"/>
          <w:sz w:val="24"/>
          <w:szCs w:val="24"/>
        </w:rPr>
      </w:pPr>
      <w:r>
        <w:rPr>
          <w:rFonts w:hint="eastAsia" w:ascii="宋体" w:hAnsi="宋体" w:cs="宋体"/>
          <w:sz w:val="24"/>
          <w:szCs w:val="24"/>
        </w:rPr>
        <w:t>3.4 在线客服：设立专门的网站服务客服和微信在线客服，对维护、使用中的一些问题进行及时的指导。</w:t>
      </w:r>
    </w:p>
    <w:p>
      <w:pPr>
        <w:spacing w:line="360" w:lineRule="auto"/>
        <w:rPr>
          <w:rFonts w:ascii="宋体" w:hAnsi="宋体" w:cs="宋体"/>
          <w:sz w:val="24"/>
          <w:szCs w:val="24"/>
        </w:rPr>
      </w:pPr>
      <w:r>
        <w:rPr>
          <w:rFonts w:hint="eastAsia" w:ascii="宋体" w:hAnsi="宋体" w:cs="宋体"/>
          <w:sz w:val="24"/>
          <w:szCs w:val="24"/>
        </w:rPr>
        <w:t>3.5紧急事情救援：对于重大突发事件等关系重大的服务要求，投标人设立专门的应急保障机构，提供1小时现场应急支援服务。</w:t>
      </w:r>
    </w:p>
    <w:p>
      <w:pPr>
        <w:spacing w:line="360" w:lineRule="auto"/>
        <w:rPr>
          <w:rFonts w:ascii="宋体" w:hAnsi="宋体" w:cs="宋体"/>
          <w:sz w:val="24"/>
          <w:szCs w:val="24"/>
        </w:rPr>
      </w:pPr>
      <w:r>
        <w:rPr>
          <w:rFonts w:hint="eastAsia" w:ascii="宋体" w:hAnsi="宋体" w:cs="宋体"/>
          <w:sz w:val="24"/>
          <w:szCs w:val="24"/>
        </w:rPr>
        <w:t xml:space="preserve">3.6定期巡查：安排现场工程师对应用系统实施现场检查，及时发现系统运行中出现的隐患，减少系统发生故障的概率，保证系统的稳定运行。在系统巡检过程中发现的问题，安排现场技术服务工程师进行相应的故障排除。 </w:t>
      </w:r>
    </w:p>
    <w:p>
      <w:pPr>
        <w:pStyle w:val="10"/>
        <w:spacing w:line="360" w:lineRule="auto"/>
        <w:rPr>
          <w:rFonts w:cs="宋体"/>
          <w:sz w:val="24"/>
          <w:szCs w:val="24"/>
        </w:rPr>
      </w:pPr>
      <w:r>
        <w:rPr>
          <w:rFonts w:hint="eastAsia" w:cs="宋体"/>
          <w:sz w:val="24"/>
          <w:szCs w:val="24"/>
        </w:rPr>
        <w:t>4.安全维护</w:t>
      </w:r>
    </w:p>
    <w:p>
      <w:pPr>
        <w:spacing w:line="360" w:lineRule="auto"/>
        <w:ind w:firstLine="480" w:firstLineChars="200"/>
        <w:rPr>
          <w:rFonts w:ascii="宋体" w:hAnsi="宋体" w:cs="宋体"/>
          <w:sz w:val="24"/>
          <w:szCs w:val="24"/>
        </w:rPr>
      </w:pPr>
      <w:r>
        <w:rPr>
          <w:rFonts w:hint="eastAsia" w:ascii="宋体" w:hAnsi="宋体" w:cs="宋体"/>
          <w:sz w:val="24"/>
          <w:szCs w:val="24"/>
        </w:rPr>
        <w:t>数据库不被无权人员随意打开查看。合理管理和组织数据库的存储空间，每个月月初定期压缩和整理数据库，使数据库保持有效性和简洁性，提高存取速度。</w:t>
      </w:r>
    </w:p>
    <w:p>
      <w:pPr>
        <w:snapToGrid w:val="0"/>
        <w:spacing w:line="360" w:lineRule="auto"/>
        <w:rPr>
          <w:rFonts w:ascii="宋体" w:hAnsi="宋体" w:cs="宋体"/>
          <w:sz w:val="24"/>
          <w:szCs w:val="24"/>
        </w:rPr>
      </w:pPr>
    </w:p>
    <w:p>
      <w:pPr>
        <w:widowControl/>
        <w:jc w:val="left"/>
        <w:rPr>
          <w:rFonts w:hint="default"/>
          <w:sz w:val="32"/>
          <w:szCs w:val="32"/>
          <w:lang w:val="en-US"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widowControl/>
        <w:jc w:val="left"/>
        <w:rPr>
          <w:rFonts w:hint="eastAsia"/>
          <w:sz w:val="32"/>
          <w:szCs w:val="32"/>
          <w:lang w:eastAsia="zh-CN"/>
        </w:rPr>
      </w:pPr>
    </w:p>
    <w:p>
      <w:pPr>
        <w:jc w:val="center"/>
        <w:rPr>
          <w:rFonts w:hint="eastAsia" w:ascii="黑体" w:hAnsi="黑体" w:eastAsia="黑体" w:cs="黑体"/>
          <w:sz w:val="32"/>
          <w:szCs w:val="32"/>
          <w:lang w:eastAsia="zh-CN"/>
        </w:rPr>
      </w:pPr>
      <w:r>
        <w:rPr>
          <w:rFonts w:hint="eastAsia" w:ascii="黑体" w:hAnsi="黑体" w:eastAsia="黑体" w:cs="黑体"/>
          <w:sz w:val="32"/>
          <w:szCs w:val="32"/>
          <w:lang w:eastAsia="zh-CN"/>
        </w:rPr>
        <w:t>《工程伦理》在线课程主要参数要求</w:t>
      </w:r>
    </w:p>
    <w:p>
      <w:pPr>
        <w:pStyle w:val="2"/>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rPr>
      </w:pPr>
      <w:bookmarkStart w:id="0" w:name="_Toc523029405"/>
      <w:bookmarkStart w:id="1" w:name="_Toc522953074"/>
      <w:r>
        <w:rPr>
          <w:rFonts w:hint="eastAsia" w:ascii="宋体" w:hAnsi="宋体" w:eastAsia="宋体" w:cs="宋体"/>
        </w:rPr>
        <w:t>一、主要技术参数</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伦理》在线课程，应与工程专业学位教学指导委员会关于工程伦理课程的指导思想一致。不同于传统的工程伦理理论教育，应强调工程伦理的实践性。在具体的实践中，由于工程活动的复杂性和不确定性，工程师需要培养良好的工程决策能力，既要把伦理意识和伦理规范具体落实到解决工程实践面临的伦理问题上。由此，工程伦理教育的目标除了培养工程师的工程伦理意识和责任感，引导其掌握工程伦理的基本规范，还需要通过工程伦理教育，提高工程师的工程伦理决策能力。</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1、授课教师要求</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课程的主讲教师应该有清华大学、大连理工大学</w:t>
      </w:r>
      <w:r>
        <w:rPr>
          <w:rFonts w:hint="eastAsia" w:ascii="宋体" w:hAnsi="宋体" w:eastAsia="宋体" w:cs="宋体"/>
          <w:sz w:val="24"/>
          <w:szCs w:val="24"/>
          <w:lang w:eastAsia="zh-CN"/>
        </w:rPr>
        <w:t>等高校名师</w:t>
      </w:r>
      <w:r>
        <w:rPr>
          <w:rFonts w:hint="eastAsia" w:ascii="宋体" w:hAnsi="宋体" w:eastAsia="宋体" w:cs="宋体"/>
          <w:sz w:val="24"/>
          <w:szCs w:val="24"/>
        </w:rPr>
        <w:t>。</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2、课程的主要内容要求：</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课程应包含以下主要内容：1、工程伦理导论，2、工程与伦理，3、工程中的风险、安全与责任，4、工程中的价值、利益与公正，5、工程活动中的环境伦理，6、工程师的职业伦理，7、水利工程伦理，8、生物医药工程伦理，9、核工程的伦理问题，10、信息技术与大数据伦理问题，11、环境工程的伦理问题。</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3、网络学习平台的功能要求：</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网络学习平台必须具有助推个性化教学的功能。实现个性化教学，教师必须能对学生有一个整体性的了解，例如对学生的学习习惯、学习兴趣、学习偏好以及学习中遇到的困难等等。而这些都依赖于平台的记录功能，准确记录到每位用户的使用学习资源的过程细节，如什么时候点击的、停留了多长时间、答对了多少题、资源的回访率等等，这些都可以作为学习资源质量的精准分析，进而帮助教师优化学习资源的设计与开发。</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作为用来教学管理和教学改进的重要依据，平台应该十分重视大数据的展示。管理员和教师可以看到学生学习的大数据部分，其中管理员可以查看所有课程，教师可以查看到自己所授权讲授的课程。基于平台的学习应该留下所有的学习行为，并形成相应的大数据，学生学习行为大数据分析功能支持特别关注数据、学习习惯数据、学习活跃数据、学习进度数据、讨论活跃数据、得分分布数据、选课记录、退课记录、课程访问记录、视频观看记录、每题最终得分记录、每题每次提交记录、发帖和回帖记录、个人总成绩、个人记录等原数据下载，可通过这些数据进行分析。</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 平台必须提供当前选课人数、累计选课人数、累计退课人数，以供我们进行环比数据分析，并能提供选课人数随选课时间的变化分析图。</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 提供活跃用户占比、活跃时间热力图，直观展示近期用户的学习习惯。按章节实现视频、讨论、习题多个维度的分析，其中习题实现答题人数占比、不同正确率人数的占比分析。</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 通过问答模式分析、社会网络分析了解整体发言趋势、学生之间的互动情况，提供总回帖数、总发帖数、零回复帖子数以及这些数据同昨日的环比分析，并通过图表展示，找出学生的学习兴趣。</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 视频统计，通过拖拽、漏看人数、无拖拽漏看人数、人均拖拽漏看视频数、人均未看完视频数四个维度分析视频内容，并能通过下载Excel、CSV格式文件进行高级数据分析，分析得出教学视频是否真的帮助了学生的学习。</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 问题聚焦或者话题聚焦，通过视频观看记录中的回看率比较高的视频节点，可推出大部分学生对哪些学习内容感兴趣或者疑难点在哪个地方，结合讨论共享中频率高的话题，教师可分析出在翻转学习过程中，课堂授课的重点在哪些地方。</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4、对供应商实力的要求：</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4.1供应商资质：</w:t>
      </w:r>
    </w:p>
    <w:p>
      <w:pPr>
        <w:pageBreakBefore w:val="0"/>
        <w:widowControl w:val="0"/>
        <w:numPr>
          <w:ilvl w:val="0"/>
          <w:numId w:val="1"/>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具有高新技术企业证书。</w:t>
      </w:r>
    </w:p>
    <w:p>
      <w:pPr>
        <w:pageBreakBefore w:val="0"/>
        <w:widowControl w:val="0"/>
        <w:numPr>
          <w:ilvl w:val="0"/>
          <w:numId w:val="1"/>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网络学习慕课平台具有计算机软件著作权登记证书。</w:t>
      </w:r>
    </w:p>
    <w:p>
      <w:pPr>
        <w:pageBreakBefore w:val="0"/>
        <w:widowControl w:val="0"/>
        <w:numPr>
          <w:ilvl w:val="0"/>
          <w:numId w:val="1"/>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具有广播电视节目制作经营许可证书。</w:t>
      </w:r>
    </w:p>
    <w:p>
      <w:pPr>
        <w:pageBreakBefore w:val="0"/>
        <w:widowControl w:val="0"/>
        <w:numPr>
          <w:ilvl w:val="0"/>
          <w:numId w:val="1"/>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网络学习慕课平台具有软件产品测试报告（具有资质的第三方检测机构出具）。</w:t>
      </w:r>
    </w:p>
    <w:p>
      <w:pPr>
        <w:pageBreakBefore w:val="0"/>
        <w:widowControl w:val="0"/>
        <w:numPr>
          <w:ilvl w:val="0"/>
          <w:numId w:val="1"/>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2015年以来具有行业协会、银行等第三方机构颁发的企业信用证明文件。</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4.2平台实力：</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eastAsia="zh-CN"/>
        </w:rPr>
        <w:t>供应商</w:t>
      </w:r>
      <w:r>
        <w:rPr>
          <w:rFonts w:hint="eastAsia" w:ascii="宋体" w:hAnsi="宋体" w:eastAsia="宋体" w:cs="宋体"/>
          <w:sz w:val="24"/>
        </w:rPr>
        <w:t>所提供的MOOC学习平台与国内外主流MOOC平台Coursera、Edx、Udacity、Fun签署战略合作协议，须提供战略合作协议或备忘录的复印件并加盖投标人公章。</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4.3课程建设实力：</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w:t>
      </w:r>
      <w:r>
        <w:rPr>
          <w:rFonts w:hint="eastAsia" w:ascii="宋体" w:hAnsi="宋体" w:eastAsia="宋体" w:cs="宋体"/>
          <w:sz w:val="24"/>
          <w:szCs w:val="24"/>
          <w:lang w:eastAsia="zh-CN"/>
        </w:rPr>
        <w:t>供应商</w:t>
      </w:r>
      <w:r>
        <w:rPr>
          <w:rFonts w:hint="eastAsia" w:ascii="宋体" w:hAnsi="宋体" w:eastAsia="宋体" w:cs="宋体"/>
          <w:sz w:val="24"/>
          <w:szCs w:val="24"/>
        </w:rPr>
        <w:t xml:space="preserve">所提供的MOOC平台为主要开课平台，参评并通过2017年国家精品在线开放课程的数量大于20门。 </w:t>
      </w:r>
    </w:p>
    <w:p>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rPr>
      </w:pPr>
      <w:r>
        <w:rPr>
          <w:rFonts w:hint="eastAsia" w:ascii="宋体" w:hAnsi="宋体" w:eastAsia="宋体" w:cs="宋体"/>
          <w:sz w:val="24"/>
          <w:szCs w:val="24"/>
        </w:rPr>
        <w:t>课程清单及主要开课平台以《教育部办公厅关于公布2017年国家精品在线开放课程认定结果的通知》为准。</w:t>
      </w:r>
    </w:p>
    <w:p>
      <w:pPr>
        <w:pStyle w:val="2"/>
        <w:pageBreakBefore w:val="0"/>
        <w:widowControl w:val="0"/>
        <w:numPr>
          <w:ilvl w:val="0"/>
          <w:numId w:val="2"/>
        </w:numPr>
        <w:kinsoku/>
        <w:wordWrap/>
        <w:overflowPunct/>
        <w:topLinePunct w:val="0"/>
        <w:autoSpaceDE/>
        <w:autoSpaceDN/>
        <w:bidi w:val="0"/>
        <w:adjustRightInd/>
        <w:spacing w:line="360" w:lineRule="auto"/>
        <w:textAlignment w:val="auto"/>
        <w:rPr>
          <w:rFonts w:hint="eastAsia" w:ascii="宋体" w:hAnsi="宋体" w:eastAsia="宋体" w:cs="宋体"/>
        </w:rPr>
      </w:pPr>
      <w:r>
        <w:rPr>
          <w:rFonts w:hint="eastAsia" w:ascii="宋体" w:hAnsi="宋体" w:eastAsia="宋体" w:cs="宋体"/>
        </w:rPr>
        <w:t>售后服务方案</w:t>
      </w:r>
      <w:bookmarkEnd w:id="0"/>
      <w:bookmarkEnd w:id="1"/>
      <w:bookmarkStart w:id="2" w:name="_Toc499502932"/>
      <w:bookmarkEnd w:id="2"/>
      <w:bookmarkStart w:id="3" w:name="_Toc499501870"/>
      <w:bookmarkEnd w:id="3"/>
      <w:bookmarkStart w:id="4" w:name="_Toc499502802"/>
    </w:p>
    <w:p>
      <w:pPr>
        <w:pageBreakBefore w:val="0"/>
        <w:widowControl w:val="0"/>
        <w:numPr>
          <w:ilvl w:val="0"/>
          <w:numId w:val="0"/>
        </w:numPr>
        <w:kinsoku/>
        <w:wordWrap/>
        <w:overflowPunct/>
        <w:topLinePunct w:val="0"/>
        <w:autoSpaceDE/>
        <w:autoSpaceDN/>
        <w:bidi w:val="0"/>
        <w:adjustRightIn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b/>
          <w:bCs/>
          <w:kern w:val="2"/>
          <w:sz w:val="24"/>
          <w:szCs w:val="24"/>
          <w:lang w:val="en-US" w:eastAsia="zh-CN" w:bidi="ar-SA"/>
        </w:rPr>
        <w:t>1.使用期限：</w:t>
      </w:r>
      <w:r>
        <w:rPr>
          <w:rFonts w:hint="eastAsia" w:ascii="宋体" w:hAnsi="宋体" w:eastAsia="宋体" w:cs="宋体"/>
          <w:sz w:val="24"/>
          <w:szCs w:val="24"/>
          <w:lang w:val="en-US" w:eastAsia="zh-CN"/>
        </w:rPr>
        <w:t>2020年10月-2022年10月。</w:t>
      </w:r>
    </w:p>
    <w:bookmarkEnd w:id="4"/>
    <w:p>
      <w:pPr>
        <w:pStyle w:val="1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rPr>
      </w:pPr>
      <w:bookmarkStart w:id="5" w:name="_Toc522953075"/>
      <w:bookmarkStart w:id="6" w:name="_Toc523029406"/>
      <w:r>
        <w:rPr>
          <w:rFonts w:hint="eastAsia" w:ascii="宋体" w:hAnsi="宋体" w:eastAsia="宋体" w:cs="宋体"/>
          <w:sz w:val="24"/>
          <w:szCs w:val="24"/>
          <w:lang w:val="en-US" w:eastAsia="zh-CN"/>
        </w:rPr>
        <w:t>2.</w:t>
      </w:r>
      <w:r>
        <w:rPr>
          <w:rFonts w:hint="eastAsia" w:ascii="宋体" w:hAnsi="宋体" w:eastAsia="宋体" w:cs="宋体"/>
          <w:sz w:val="24"/>
          <w:szCs w:val="24"/>
        </w:rPr>
        <w:t>免费保修</w:t>
      </w:r>
      <w:bookmarkEnd w:id="5"/>
      <w:bookmarkEnd w:id="6"/>
    </w:p>
    <w:p>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1.1 网络学习慕课平台和移动端APP软件1年质保期平台运营维护升级</w:t>
      </w:r>
      <w:r>
        <w:rPr>
          <w:rFonts w:hint="eastAsia" w:ascii="宋体" w:hAnsi="宋体" w:eastAsia="宋体" w:cs="宋体"/>
          <w:sz w:val="24"/>
          <w:szCs w:val="24"/>
          <w:lang w:eastAsia="zh-CN"/>
        </w:rPr>
        <w:t>。</w:t>
      </w:r>
    </w:p>
    <w:p>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rPr>
        <w:t>1.2</w:t>
      </w:r>
      <w:r>
        <w:rPr>
          <w:rFonts w:hint="eastAsia" w:ascii="宋体" w:hAnsi="宋体" w:eastAsia="宋体" w:cs="宋体"/>
          <w:sz w:val="24"/>
          <w:szCs w:val="24"/>
        </w:rPr>
        <w:t>在系统质保期内，提供专门的技术支持工程师，</w:t>
      </w:r>
      <w:r>
        <w:rPr>
          <w:rFonts w:hint="eastAsia" w:ascii="宋体" w:hAnsi="宋体" w:eastAsia="宋体" w:cs="宋体"/>
          <w:sz w:val="24"/>
          <w:szCs w:val="24"/>
          <w:lang w:eastAsia="zh-CN"/>
        </w:rPr>
        <w:t>解答用户相关问题。</w:t>
      </w:r>
    </w:p>
    <w:p>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1.3提供系统保障全年7*24小时的连续运行。 </w:t>
      </w:r>
    </w:p>
    <w:p>
      <w:pPr>
        <w:pStyle w:val="1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rPr>
      </w:pPr>
      <w:bookmarkStart w:id="7" w:name="_Toc522953076"/>
      <w:bookmarkStart w:id="8" w:name="_Toc523029407"/>
      <w:r>
        <w:rPr>
          <w:rFonts w:hint="eastAsia" w:ascii="宋体" w:hAnsi="宋体" w:eastAsia="宋体" w:cs="宋体"/>
          <w:sz w:val="24"/>
          <w:szCs w:val="24"/>
          <w:lang w:val="en-US" w:eastAsia="zh-CN"/>
        </w:rPr>
        <w:t>3.</w:t>
      </w:r>
      <w:r>
        <w:rPr>
          <w:rFonts w:hint="eastAsia" w:ascii="宋体" w:hAnsi="宋体" w:eastAsia="宋体" w:cs="宋体"/>
          <w:sz w:val="24"/>
          <w:szCs w:val="24"/>
        </w:rPr>
        <w:t>应急维修</w:t>
      </w:r>
      <w:bookmarkEnd w:id="7"/>
      <w:bookmarkEnd w:id="8"/>
    </w:p>
    <w:p>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w:t>
      </w:r>
      <w:r>
        <w:rPr>
          <w:rFonts w:hint="eastAsia" w:ascii="宋体" w:hAnsi="宋体" w:eastAsia="宋体" w:cs="宋体"/>
          <w:color w:val="000000"/>
          <w:sz w:val="24"/>
          <w:szCs w:val="24"/>
        </w:rPr>
        <w:t>系统升级：及时提供平台的软件升级服务。</w:t>
      </w:r>
    </w:p>
    <w:p>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 xml:space="preserve">2 </w:t>
      </w:r>
      <w:r>
        <w:rPr>
          <w:rFonts w:hint="eastAsia" w:ascii="宋体" w:hAnsi="宋体" w:eastAsia="宋体" w:cs="宋体"/>
          <w:color w:val="000000"/>
          <w:sz w:val="24"/>
          <w:szCs w:val="24"/>
        </w:rPr>
        <w:t>文档服务：整个服务过程均需有完善的文档记录，便于跟踪、分析问题；对各项服务提供详细的书面报告，包括故障处理报告、健康巡检报告、系统性能检测调优报告、维护总表报告、服务年度报告等。</w:t>
      </w:r>
    </w:p>
    <w:p>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 xml:space="preserve"> 运行支持：对系统运行过程中用户及业务部门的问题提供解答和问题解决跟踪，对于关键业务点的上线推广与运行提供现场保障。</w:t>
      </w:r>
    </w:p>
    <w:p>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3.4 </w:t>
      </w:r>
      <w:r>
        <w:rPr>
          <w:rFonts w:hint="eastAsia" w:ascii="宋体" w:hAnsi="宋体" w:eastAsia="宋体" w:cs="宋体"/>
          <w:sz w:val="24"/>
          <w:szCs w:val="24"/>
        </w:rPr>
        <w:t>在线客服</w:t>
      </w:r>
      <w:r>
        <w:rPr>
          <w:rFonts w:hint="eastAsia" w:ascii="宋体" w:hAnsi="宋体" w:eastAsia="宋体" w:cs="宋体"/>
          <w:sz w:val="24"/>
          <w:szCs w:val="24"/>
          <w:lang w:eastAsia="zh-CN"/>
        </w:rPr>
        <w:t>：</w:t>
      </w:r>
      <w:r>
        <w:rPr>
          <w:rFonts w:hint="eastAsia" w:ascii="宋体" w:hAnsi="宋体" w:eastAsia="宋体" w:cs="宋体"/>
          <w:sz w:val="24"/>
          <w:szCs w:val="24"/>
        </w:rPr>
        <w:t>设立专门的网站服务客服</w:t>
      </w:r>
      <w:r>
        <w:rPr>
          <w:rFonts w:hint="eastAsia" w:ascii="宋体" w:hAnsi="宋体" w:eastAsia="宋体" w:cs="宋体"/>
          <w:sz w:val="24"/>
          <w:szCs w:val="24"/>
          <w:lang w:eastAsia="zh-CN"/>
        </w:rPr>
        <w:t>和</w:t>
      </w:r>
      <w:r>
        <w:rPr>
          <w:rFonts w:hint="eastAsia" w:ascii="宋体" w:hAnsi="宋体" w:eastAsia="宋体" w:cs="宋体"/>
          <w:sz w:val="24"/>
          <w:szCs w:val="24"/>
        </w:rPr>
        <w:t>微信在线客服</w:t>
      </w:r>
      <w:r>
        <w:rPr>
          <w:rFonts w:hint="eastAsia" w:ascii="宋体" w:hAnsi="宋体" w:eastAsia="宋体" w:cs="宋体"/>
          <w:sz w:val="24"/>
          <w:szCs w:val="24"/>
          <w:lang w:eastAsia="zh-CN"/>
        </w:rPr>
        <w:t>，</w:t>
      </w:r>
      <w:r>
        <w:rPr>
          <w:rFonts w:hint="eastAsia" w:ascii="宋体" w:hAnsi="宋体" w:eastAsia="宋体" w:cs="宋体"/>
          <w:sz w:val="24"/>
          <w:szCs w:val="24"/>
        </w:rPr>
        <w:t>对维护、使用中的一些问题进行及时的指导。</w:t>
      </w:r>
    </w:p>
    <w:p>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3.5</w:t>
      </w:r>
      <w:r>
        <w:rPr>
          <w:rFonts w:hint="eastAsia" w:ascii="宋体" w:hAnsi="宋体" w:eastAsia="宋体" w:cs="宋体"/>
          <w:sz w:val="24"/>
          <w:szCs w:val="24"/>
        </w:rPr>
        <w:t>紧急事情救援</w:t>
      </w:r>
      <w:r>
        <w:rPr>
          <w:rFonts w:hint="eastAsia" w:ascii="宋体" w:hAnsi="宋体" w:eastAsia="宋体" w:cs="宋体"/>
          <w:sz w:val="24"/>
          <w:szCs w:val="24"/>
          <w:lang w:eastAsia="zh-CN"/>
        </w:rPr>
        <w:t>：</w:t>
      </w:r>
      <w:r>
        <w:rPr>
          <w:rFonts w:hint="eastAsia" w:ascii="宋体" w:hAnsi="宋体" w:eastAsia="宋体" w:cs="宋体"/>
          <w:sz w:val="24"/>
          <w:szCs w:val="24"/>
        </w:rPr>
        <w:t>对于重大突发事件等关系重大的服务要求，</w:t>
      </w:r>
      <w:r>
        <w:rPr>
          <w:rFonts w:hint="eastAsia" w:ascii="宋体" w:hAnsi="宋体" w:eastAsia="宋体" w:cs="宋体"/>
          <w:sz w:val="24"/>
          <w:szCs w:val="24"/>
          <w:lang w:eastAsia="zh-CN"/>
        </w:rPr>
        <w:t>投标人</w:t>
      </w:r>
      <w:r>
        <w:rPr>
          <w:rFonts w:hint="eastAsia" w:ascii="宋体" w:hAnsi="宋体" w:eastAsia="宋体" w:cs="宋体"/>
          <w:sz w:val="24"/>
          <w:szCs w:val="24"/>
        </w:rPr>
        <w:t>设立专门的应急保障机构，提供1小时现场应急支援服务。</w:t>
      </w:r>
    </w:p>
    <w:p>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w:t>
      </w:r>
      <w:r>
        <w:rPr>
          <w:rFonts w:hint="eastAsia" w:ascii="宋体" w:hAnsi="宋体" w:eastAsia="宋体" w:cs="宋体"/>
          <w:sz w:val="24"/>
          <w:szCs w:val="24"/>
        </w:rPr>
        <w:t>定期巡查</w:t>
      </w:r>
      <w:r>
        <w:rPr>
          <w:rFonts w:hint="eastAsia" w:ascii="宋体" w:hAnsi="宋体" w:eastAsia="宋体" w:cs="宋体"/>
          <w:sz w:val="24"/>
          <w:szCs w:val="24"/>
          <w:lang w:eastAsia="zh-CN"/>
        </w:rPr>
        <w:t>：</w:t>
      </w:r>
      <w:r>
        <w:rPr>
          <w:rFonts w:hint="eastAsia" w:ascii="宋体" w:hAnsi="宋体" w:eastAsia="宋体" w:cs="宋体"/>
          <w:sz w:val="24"/>
          <w:szCs w:val="24"/>
        </w:rPr>
        <w:t>安排现场工程师对应用系统实施现场检查，及时发现系统运行中出现的隐患，减少系统发生故障的概率，保证系统的稳定运行。在系统巡检过程中发现的问题，</w:t>
      </w:r>
      <w:r>
        <w:rPr>
          <w:rFonts w:hint="eastAsia" w:ascii="宋体" w:hAnsi="宋体" w:eastAsia="宋体" w:cs="宋体"/>
          <w:sz w:val="24"/>
          <w:szCs w:val="24"/>
          <w:lang w:eastAsia="zh-CN"/>
        </w:rPr>
        <w:t>安排</w:t>
      </w:r>
      <w:r>
        <w:rPr>
          <w:rFonts w:hint="eastAsia" w:ascii="宋体" w:hAnsi="宋体" w:eastAsia="宋体" w:cs="宋体"/>
          <w:sz w:val="24"/>
          <w:szCs w:val="24"/>
        </w:rPr>
        <w:t xml:space="preserve">现场技术服务工程师进行相应的故障排除。 </w:t>
      </w:r>
    </w:p>
    <w:p>
      <w:pPr>
        <w:pStyle w:val="1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4.安全维护</w:t>
      </w:r>
    </w:p>
    <w:p>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数据库不被无权人员随意打开查看。合理管理和组织数据库的存储空间，每个月月初定期压缩和整理数据库，使数据库保持有效性和简洁性，提高存取速度。</w:t>
      </w:r>
    </w:p>
    <w:p>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p>
    <w:p>
      <w:pPr>
        <w:widowControl/>
        <w:jc w:val="left"/>
        <w:rPr>
          <w:rFonts w:hint="eastAsia"/>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00"/>
    <w:family w:val="swiss"/>
    <w:pitch w:val="default"/>
    <w:sig w:usb0="E10022FF" w:usb1="C000E47F" w:usb2="00000029" w:usb3="00000000" w:csb0="200001DF" w:csb1="2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4A83F4"/>
    <w:multiLevelType w:val="singleLevel"/>
    <w:tmpl w:val="D94A83F4"/>
    <w:lvl w:ilvl="0" w:tentative="0">
      <w:start w:val="2"/>
      <w:numFmt w:val="chineseCounting"/>
      <w:suff w:val="nothing"/>
      <w:lvlText w:val="%1、"/>
      <w:lvlJc w:val="left"/>
      <w:rPr>
        <w:rFonts w:hint="eastAsia"/>
      </w:rPr>
    </w:lvl>
  </w:abstractNum>
  <w:abstractNum w:abstractNumId="1">
    <w:nsid w:val="75F90DE2"/>
    <w:multiLevelType w:val="singleLevel"/>
    <w:tmpl w:val="75F90DE2"/>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ED1"/>
    <w:rsid w:val="00011786"/>
    <w:rsid w:val="0002383B"/>
    <w:rsid w:val="0004066E"/>
    <w:rsid w:val="00041337"/>
    <w:rsid w:val="00042CBF"/>
    <w:rsid w:val="00045829"/>
    <w:rsid w:val="00060F6E"/>
    <w:rsid w:val="00061AC5"/>
    <w:rsid w:val="00065C12"/>
    <w:rsid w:val="00066BD9"/>
    <w:rsid w:val="00070892"/>
    <w:rsid w:val="00073347"/>
    <w:rsid w:val="00074D50"/>
    <w:rsid w:val="00075F2D"/>
    <w:rsid w:val="00081AB2"/>
    <w:rsid w:val="00082E5F"/>
    <w:rsid w:val="00087CD1"/>
    <w:rsid w:val="00097894"/>
    <w:rsid w:val="000A15D8"/>
    <w:rsid w:val="000B2120"/>
    <w:rsid w:val="000B35AB"/>
    <w:rsid w:val="000B5094"/>
    <w:rsid w:val="000D675D"/>
    <w:rsid w:val="000E4178"/>
    <w:rsid w:val="000E77A3"/>
    <w:rsid w:val="0010160D"/>
    <w:rsid w:val="0011059D"/>
    <w:rsid w:val="00113724"/>
    <w:rsid w:val="00115E3A"/>
    <w:rsid w:val="00132A56"/>
    <w:rsid w:val="00134080"/>
    <w:rsid w:val="00161066"/>
    <w:rsid w:val="00166B80"/>
    <w:rsid w:val="00171D84"/>
    <w:rsid w:val="001735C2"/>
    <w:rsid w:val="00173DFF"/>
    <w:rsid w:val="00182637"/>
    <w:rsid w:val="001A0A24"/>
    <w:rsid w:val="001A7F71"/>
    <w:rsid w:val="001B1DAB"/>
    <w:rsid w:val="001D2C96"/>
    <w:rsid w:val="001D559E"/>
    <w:rsid w:val="001E110F"/>
    <w:rsid w:val="001E5323"/>
    <w:rsid w:val="001F0BBC"/>
    <w:rsid w:val="001F2B6C"/>
    <w:rsid w:val="002037BD"/>
    <w:rsid w:val="0020439E"/>
    <w:rsid w:val="0020476C"/>
    <w:rsid w:val="00212B55"/>
    <w:rsid w:val="00226974"/>
    <w:rsid w:val="00240192"/>
    <w:rsid w:val="00245F83"/>
    <w:rsid w:val="002513AB"/>
    <w:rsid w:val="00253F63"/>
    <w:rsid w:val="00264043"/>
    <w:rsid w:val="00271CD4"/>
    <w:rsid w:val="00290BBA"/>
    <w:rsid w:val="00293A11"/>
    <w:rsid w:val="002A71B8"/>
    <w:rsid w:val="002C3766"/>
    <w:rsid w:val="002E0077"/>
    <w:rsid w:val="002E4B38"/>
    <w:rsid w:val="002E4EAB"/>
    <w:rsid w:val="002E78F0"/>
    <w:rsid w:val="002F1037"/>
    <w:rsid w:val="00317DA7"/>
    <w:rsid w:val="0032049B"/>
    <w:rsid w:val="0033607F"/>
    <w:rsid w:val="00345A0B"/>
    <w:rsid w:val="003543BD"/>
    <w:rsid w:val="00362DD1"/>
    <w:rsid w:val="00363260"/>
    <w:rsid w:val="0037106D"/>
    <w:rsid w:val="00373A69"/>
    <w:rsid w:val="00373A98"/>
    <w:rsid w:val="0038205C"/>
    <w:rsid w:val="00386F51"/>
    <w:rsid w:val="00392F40"/>
    <w:rsid w:val="003A4ED2"/>
    <w:rsid w:val="003A4F4D"/>
    <w:rsid w:val="003D6FDF"/>
    <w:rsid w:val="00414694"/>
    <w:rsid w:val="00414E41"/>
    <w:rsid w:val="00416189"/>
    <w:rsid w:val="004173AF"/>
    <w:rsid w:val="0043052F"/>
    <w:rsid w:val="00434A37"/>
    <w:rsid w:val="00441C78"/>
    <w:rsid w:val="00444E65"/>
    <w:rsid w:val="00447561"/>
    <w:rsid w:val="00451F22"/>
    <w:rsid w:val="00462114"/>
    <w:rsid w:val="00472C80"/>
    <w:rsid w:val="0048471D"/>
    <w:rsid w:val="004A13F7"/>
    <w:rsid w:val="004B5872"/>
    <w:rsid w:val="004C6D63"/>
    <w:rsid w:val="004D089A"/>
    <w:rsid w:val="004D6026"/>
    <w:rsid w:val="004E163D"/>
    <w:rsid w:val="004E5AD6"/>
    <w:rsid w:val="00512171"/>
    <w:rsid w:val="00513C5D"/>
    <w:rsid w:val="005251D6"/>
    <w:rsid w:val="005317EA"/>
    <w:rsid w:val="00552673"/>
    <w:rsid w:val="00566157"/>
    <w:rsid w:val="005661BA"/>
    <w:rsid w:val="00567FEF"/>
    <w:rsid w:val="00570F93"/>
    <w:rsid w:val="0057145E"/>
    <w:rsid w:val="00582939"/>
    <w:rsid w:val="00583880"/>
    <w:rsid w:val="005A059E"/>
    <w:rsid w:val="005C17F1"/>
    <w:rsid w:val="005C1C48"/>
    <w:rsid w:val="005D067E"/>
    <w:rsid w:val="005D3050"/>
    <w:rsid w:val="005D4CBE"/>
    <w:rsid w:val="005D7A1D"/>
    <w:rsid w:val="005E6361"/>
    <w:rsid w:val="005F3EFF"/>
    <w:rsid w:val="005F4D95"/>
    <w:rsid w:val="005F7657"/>
    <w:rsid w:val="006029A9"/>
    <w:rsid w:val="00603C15"/>
    <w:rsid w:val="00613ABB"/>
    <w:rsid w:val="00620225"/>
    <w:rsid w:val="00623489"/>
    <w:rsid w:val="00630F6F"/>
    <w:rsid w:val="006318B5"/>
    <w:rsid w:val="00640A64"/>
    <w:rsid w:val="006424E2"/>
    <w:rsid w:val="00652A12"/>
    <w:rsid w:val="00655953"/>
    <w:rsid w:val="00686530"/>
    <w:rsid w:val="006952DC"/>
    <w:rsid w:val="00695BBD"/>
    <w:rsid w:val="006B3D8F"/>
    <w:rsid w:val="006C14DC"/>
    <w:rsid w:val="006D0F07"/>
    <w:rsid w:val="006D207C"/>
    <w:rsid w:val="006E1A7B"/>
    <w:rsid w:val="006F0900"/>
    <w:rsid w:val="006F199D"/>
    <w:rsid w:val="006F5BF2"/>
    <w:rsid w:val="00702409"/>
    <w:rsid w:val="00706BBD"/>
    <w:rsid w:val="00724F80"/>
    <w:rsid w:val="007261DD"/>
    <w:rsid w:val="0073499C"/>
    <w:rsid w:val="00735DD0"/>
    <w:rsid w:val="007376B4"/>
    <w:rsid w:val="00742073"/>
    <w:rsid w:val="0075091D"/>
    <w:rsid w:val="00763709"/>
    <w:rsid w:val="00773F9E"/>
    <w:rsid w:val="007828B7"/>
    <w:rsid w:val="007B4A86"/>
    <w:rsid w:val="007D0D95"/>
    <w:rsid w:val="007D62E9"/>
    <w:rsid w:val="007E1F00"/>
    <w:rsid w:val="007F0E9B"/>
    <w:rsid w:val="00800484"/>
    <w:rsid w:val="00801931"/>
    <w:rsid w:val="00801F4D"/>
    <w:rsid w:val="00803C0D"/>
    <w:rsid w:val="00806763"/>
    <w:rsid w:val="008106BB"/>
    <w:rsid w:val="00822430"/>
    <w:rsid w:val="0084480A"/>
    <w:rsid w:val="008558EE"/>
    <w:rsid w:val="00861E71"/>
    <w:rsid w:val="008658AF"/>
    <w:rsid w:val="00871CFF"/>
    <w:rsid w:val="00880F9B"/>
    <w:rsid w:val="008835A7"/>
    <w:rsid w:val="00892F50"/>
    <w:rsid w:val="008A498B"/>
    <w:rsid w:val="008A4BCB"/>
    <w:rsid w:val="008A7CA5"/>
    <w:rsid w:val="008B2656"/>
    <w:rsid w:val="008B370D"/>
    <w:rsid w:val="008B46E8"/>
    <w:rsid w:val="008B6402"/>
    <w:rsid w:val="008C0FC2"/>
    <w:rsid w:val="008C2476"/>
    <w:rsid w:val="008D4975"/>
    <w:rsid w:val="008D6950"/>
    <w:rsid w:val="008E24AD"/>
    <w:rsid w:val="008F5F71"/>
    <w:rsid w:val="00912D47"/>
    <w:rsid w:val="00927EBB"/>
    <w:rsid w:val="009307F9"/>
    <w:rsid w:val="00937692"/>
    <w:rsid w:val="00937CD0"/>
    <w:rsid w:val="0094214C"/>
    <w:rsid w:val="009435DE"/>
    <w:rsid w:val="00962BB9"/>
    <w:rsid w:val="009748A5"/>
    <w:rsid w:val="009924C2"/>
    <w:rsid w:val="009937C5"/>
    <w:rsid w:val="0099602D"/>
    <w:rsid w:val="009A0436"/>
    <w:rsid w:val="009A18F3"/>
    <w:rsid w:val="009A27D6"/>
    <w:rsid w:val="009B2826"/>
    <w:rsid w:val="009C45E9"/>
    <w:rsid w:val="009D41FB"/>
    <w:rsid w:val="009D4A21"/>
    <w:rsid w:val="009D784F"/>
    <w:rsid w:val="009E0DC4"/>
    <w:rsid w:val="009E3807"/>
    <w:rsid w:val="009E4086"/>
    <w:rsid w:val="009E72DA"/>
    <w:rsid w:val="00A0213C"/>
    <w:rsid w:val="00A04A69"/>
    <w:rsid w:val="00A105A7"/>
    <w:rsid w:val="00A2611A"/>
    <w:rsid w:val="00A34479"/>
    <w:rsid w:val="00A34900"/>
    <w:rsid w:val="00A34F1F"/>
    <w:rsid w:val="00A42291"/>
    <w:rsid w:val="00A45C00"/>
    <w:rsid w:val="00A4622E"/>
    <w:rsid w:val="00A46DF0"/>
    <w:rsid w:val="00A712B7"/>
    <w:rsid w:val="00A76F10"/>
    <w:rsid w:val="00A93C1F"/>
    <w:rsid w:val="00A9452C"/>
    <w:rsid w:val="00A956DB"/>
    <w:rsid w:val="00AA13FF"/>
    <w:rsid w:val="00AB116A"/>
    <w:rsid w:val="00AC7573"/>
    <w:rsid w:val="00AD0CDF"/>
    <w:rsid w:val="00AD509D"/>
    <w:rsid w:val="00AF401D"/>
    <w:rsid w:val="00AF41A5"/>
    <w:rsid w:val="00B01AEE"/>
    <w:rsid w:val="00B03145"/>
    <w:rsid w:val="00B05E80"/>
    <w:rsid w:val="00B077D2"/>
    <w:rsid w:val="00B10B9E"/>
    <w:rsid w:val="00B17300"/>
    <w:rsid w:val="00B25F6D"/>
    <w:rsid w:val="00B303D4"/>
    <w:rsid w:val="00B30FFC"/>
    <w:rsid w:val="00B408B4"/>
    <w:rsid w:val="00B434F2"/>
    <w:rsid w:val="00B4359D"/>
    <w:rsid w:val="00B4792E"/>
    <w:rsid w:val="00B5597F"/>
    <w:rsid w:val="00B6577C"/>
    <w:rsid w:val="00B667D0"/>
    <w:rsid w:val="00B72ED1"/>
    <w:rsid w:val="00B80509"/>
    <w:rsid w:val="00B83C57"/>
    <w:rsid w:val="00B90B5D"/>
    <w:rsid w:val="00B92440"/>
    <w:rsid w:val="00B95732"/>
    <w:rsid w:val="00B96B4C"/>
    <w:rsid w:val="00BA227D"/>
    <w:rsid w:val="00BA510A"/>
    <w:rsid w:val="00BA7ED0"/>
    <w:rsid w:val="00BB43C9"/>
    <w:rsid w:val="00BC7837"/>
    <w:rsid w:val="00BD6D15"/>
    <w:rsid w:val="00BE0AA3"/>
    <w:rsid w:val="00C00B4E"/>
    <w:rsid w:val="00C00D43"/>
    <w:rsid w:val="00C010D2"/>
    <w:rsid w:val="00C03802"/>
    <w:rsid w:val="00C14BA5"/>
    <w:rsid w:val="00C15A57"/>
    <w:rsid w:val="00C24B94"/>
    <w:rsid w:val="00C24EAE"/>
    <w:rsid w:val="00C27D4C"/>
    <w:rsid w:val="00C3129E"/>
    <w:rsid w:val="00C32EC2"/>
    <w:rsid w:val="00C40468"/>
    <w:rsid w:val="00C530C1"/>
    <w:rsid w:val="00C53CC6"/>
    <w:rsid w:val="00C55CB9"/>
    <w:rsid w:val="00C632E5"/>
    <w:rsid w:val="00C65FF0"/>
    <w:rsid w:val="00C70EAA"/>
    <w:rsid w:val="00C75B77"/>
    <w:rsid w:val="00C77133"/>
    <w:rsid w:val="00C8629D"/>
    <w:rsid w:val="00CA00B7"/>
    <w:rsid w:val="00CA0959"/>
    <w:rsid w:val="00CA3FDB"/>
    <w:rsid w:val="00CA62BA"/>
    <w:rsid w:val="00CA6881"/>
    <w:rsid w:val="00CB1D70"/>
    <w:rsid w:val="00CB5007"/>
    <w:rsid w:val="00CC4EC9"/>
    <w:rsid w:val="00CC6C86"/>
    <w:rsid w:val="00CC6E5D"/>
    <w:rsid w:val="00CC77EF"/>
    <w:rsid w:val="00CE141B"/>
    <w:rsid w:val="00CE21A5"/>
    <w:rsid w:val="00CF035A"/>
    <w:rsid w:val="00D0115C"/>
    <w:rsid w:val="00D0211F"/>
    <w:rsid w:val="00D02289"/>
    <w:rsid w:val="00D05A0D"/>
    <w:rsid w:val="00D10C6F"/>
    <w:rsid w:val="00D124C4"/>
    <w:rsid w:val="00D363D0"/>
    <w:rsid w:val="00D55767"/>
    <w:rsid w:val="00D6295D"/>
    <w:rsid w:val="00D7370C"/>
    <w:rsid w:val="00D94146"/>
    <w:rsid w:val="00DB7488"/>
    <w:rsid w:val="00DC1716"/>
    <w:rsid w:val="00DC4ECD"/>
    <w:rsid w:val="00DD767D"/>
    <w:rsid w:val="00DF1462"/>
    <w:rsid w:val="00E034EE"/>
    <w:rsid w:val="00E105C5"/>
    <w:rsid w:val="00E1665C"/>
    <w:rsid w:val="00E17C5F"/>
    <w:rsid w:val="00E24045"/>
    <w:rsid w:val="00E30165"/>
    <w:rsid w:val="00E47423"/>
    <w:rsid w:val="00E5353C"/>
    <w:rsid w:val="00E5404D"/>
    <w:rsid w:val="00E548DD"/>
    <w:rsid w:val="00E56D55"/>
    <w:rsid w:val="00E61FC8"/>
    <w:rsid w:val="00E65BAC"/>
    <w:rsid w:val="00E71424"/>
    <w:rsid w:val="00E72B2C"/>
    <w:rsid w:val="00E969EF"/>
    <w:rsid w:val="00EB2BE1"/>
    <w:rsid w:val="00EC0A3E"/>
    <w:rsid w:val="00EC311D"/>
    <w:rsid w:val="00EC3D02"/>
    <w:rsid w:val="00EC5C01"/>
    <w:rsid w:val="00ED3180"/>
    <w:rsid w:val="00ED4E35"/>
    <w:rsid w:val="00EE035D"/>
    <w:rsid w:val="00EF0314"/>
    <w:rsid w:val="00F20CE1"/>
    <w:rsid w:val="00F60847"/>
    <w:rsid w:val="00F738EE"/>
    <w:rsid w:val="00F8507D"/>
    <w:rsid w:val="00F853E6"/>
    <w:rsid w:val="00F86946"/>
    <w:rsid w:val="00F9507E"/>
    <w:rsid w:val="00FB22A8"/>
    <w:rsid w:val="00FD4113"/>
    <w:rsid w:val="00FD56B9"/>
    <w:rsid w:val="00FE6D30"/>
    <w:rsid w:val="0BF3189C"/>
    <w:rsid w:val="0F2734CD"/>
    <w:rsid w:val="3A6B0700"/>
    <w:rsid w:val="3AD911B9"/>
    <w:rsid w:val="406F0B72"/>
    <w:rsid w:val="51330B0F"/>
    <w:rsid w:val="61491CD1"/>
    <w:rsid w:val="7BB219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Arial" w:hAnsi="Arial" w:eastAsia="黑体"/>
      <w:b/>
      <w:bCs/>
      <w:sz w:val="32"/>
      <w:szCs w:val="32"/>
    </w:rPr>
  </w:style>
  <w:style w:type="paragraph" w:styleId="3">
    <w:name w:val="heading 3"/>
    <w:basedOn w:val="1"/>
    <w:next w:val="1"/>
    <w:semiHidden/>
    <w:unhideWhenUsed/>
    <w:qFormat/>
    <w:uiPriority w:val="9"/>
    <w:pPr>
      <w:keepNext/>
      <w:keepLines/>
      <w:spacing w:before="260" w:after="260" w:line="416" w:lineRule="auto"/>
      <w:outlineLvl w:val="2"/>
    </w:pPr>
    <w:rPr>
      <w:b/>
      <w:bCs/>
      <w:sz w:val="32"/>
      <w:szCs w:val="32"/>
    </w:rPr>
  </w:style>
  <w:style w:type="character" w:default="1" w:styleId="7">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kern w:val="2"/>
      <w:sz w:val="18"/>
      <w:szCs w:val="18"/>
    </w:rPr>
  </w:style>
  <w:style w:type="character" w:customStyle="1" w:styleId="9">
    <w:name w:val="页脚 Char"/>
    <w:basedOn w:val="7"/>
    <w:link w:val="4"/>
    <w:qFormat/>
    <w:uiPriority w:val="99"/>
    <w:rPr>
      <w:kern w:val="2"/>
      <w:sz w:val="18"/>
      <w:szCs w:val="18"/>
    </w:rPr>
  </w:style>
  <w:style w:type="paragraph" w:customStyle="1" w:styleId="10">
    <w:name w:val="标题3"/>
    <w:basedOn w:val="3"/>
    <w:qFormat/>
    <w:uiPriority w:val="0"/>
    <w:rPr>
      <w:rFonts w:ascii="宋体" w:hAnsi="宋体"/>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5</Pages>
  <Words>288</Words>
  <Characters>1648</Characters>
  <Lines>13</Lines>
  <Paragraphs>3</Paragraphs>
  <TotalTime>16</TotalTime>
  <ScaleCrop>false</ScaleCrop>
  <LinksUpToDate>false</LinksUpToDate>
  <CharactersWithSpaces>1933</CharactersWithSpaces>
  <Application>WPS Office_11.1.0.9926_F1E327BC-269C-435d-A152-05C5408002CA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2018-05-08T06:58:00Z</dcterms:created>
  <dc:creator>USER-</dc:creator>
  <cp:lastModifiedBy>Qiu</cp:lastModifiedBy>
  <dcterms:modified xsi:type="dcterms:W3CDTF">2020-09-25T06:43:42Z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